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98C" w:rsidRDefault="009E298C" w:rsidP="008B7CFD">
      <w:pP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DECISÃO DO </w:t>
      </w:r>
      <w:proofErr w:type="gramStart"/>
      <w:r>
        <w:rPr>
          <w:rFonts w:ascii="Times New Roman" w:hAnsi="Times New Roman" w:cs="Times New Roman"/>
          <w:sz w:val="26"/>
          <w:szCs w:val="26"/>
        </w:rPr>
        <w:t>AE &gt;</w:t>
      </w:r>
      <w:proofErr w:type="gramEnd"/>
      <w:r>
        <w:rPr>
          <w:rFonts w:ascii="Times New Roman" w:hAnsi="Times New Roman" w:cs="Times New Roman"/>
          <w:sz w:val="26"/>
          <w:szCs w:val="26"/>
        </w:rPr>
        <w:t xml:space="preserve"> Outra &gt; criar modelo: </w:t>
      </w:r>
    </w:p>
    <w:p w:rsidR="00F94CCB" w:rsidRDefault="00F94CCB" w:rsidP="008B7CFD">
      <w:pPr>
        <w:tabs>
          <w:tab w:val="left" w:pos="5103"/>
        </w:tabs>
        <w:spacing w:after="0"/>
        <w:ind w:right="567"/>
        <w:jc w:val="both"/>
        <w:rPr>
          <w:rFonts w:ascii="Times New Roman" w:hAnsi="Times New Roman" w:cs="Times New Roman"/>
          <w:sz w:val="26"/>
          <w:szCs w:val="26"/>
        </w:rPr>
      </w:pPr>
    </w:p>
    <w:p w:rsidR="009E298C" w:rsidRDefault="009E298C" w:rsidP="008B7CFD">
      <w:pPr>
        <w:pBdr>
          <w:bottom w:val="single" w:sz="12" w:space="18" w:color="auto"/>
        </w:pBdr>
        <w:tabs>
          <w:tab w:val="left" w:pos="5103"/>
        </w:tabs>
        <w:spacing w:after="0"/>
        <w:ind w:right="567"/>
        <w:jc w:val="both"/>
        <w:rPr>
          <w:rFonts w:ascii="Times New Roman" w:hAnsi="Times New Roman" w:cs="Times New Roman"/>
          <w:sz w:val="26"/>
          <w:szCs w:val="26"/>
        </w:rPr>
      </w:pPr>
      <w:proofErr w:type="gramStart"/>
      <w:r>
        <w:rPr>
          <w:rFonts w:ascii="Times New Roman" w:hAnsi="Times New Roman" w:cs="Times New Roman"/>
          <w:sz w:val="26"/>
          <w:szCs w:val="26"/>
        </w:rPr>
        <w:t>decisão</w:t>
      </w:r>
      <w:proofErr w:type="gramEnd"/>
      <w:r>
        <w:rPr>
          <w:rFonts w:ascii="Times New Roman" w:hAnsi="Times New Roman" w:cs="Times New Roman"/>
          <w:sz w:val="26"/>
          <w:szCs w:val="26"/>
        </w:rPr>
        <w:t xml:space="preserve"> inicial </w:t>
      </w:r>
    </w:p>
    <w:p w:rsidR="009E298C" w:rsidRDefault="009E298C" w:rsidP="008B7CFD">
      <w:pPr>
        <w:pBdr>
          <w:bottom w:val="single" w:sz="12" w:space="18" w:color="auto"/>
        </w:pBdr>
        <w:tabs>
          <w:tab w:val="left" w:pos="5103"/>
        </w:tabs>
        <w:spacing w:after="0"/>
        <w:ind w:right="567"/>
        <w:jc w:val="both"/>
        <w:rPr>
          <w:rFonts w:ascii="Times New Roman" w:hAnsi="Times New Roman" w:cs="Times New Roman"/>
          <w:sz w:val="26"/>
          <w:szCs w:val="26"/>
        </w:rPr>
      </w:pPr>
    </w:p>
    <w:p w:rsidR="009E298C" w:rsidRDefault="009E298C" w:rsidP="008B7CFD">
      <w:pPr>
        <w:tabs>
          <w:tab w:val="left" w:pos="5103"/>
        </w:tabs>
        <w:spacing w:after="0"/>
        <w:ind w:right="567"/>
        <w:rPr>
          <w:rFonts w:ascii="Times New Roman" w:hAnsi="Times New Roman" w:cs="Times New Roman"/>
          <w:sz w:val="26"/>
          <w:szCs w:val="26"/>
        </w:rPr>
      </w:pPr>
    </w:p>
    <w:p w:rsidR="009E298C" w:rsidRDefault="009E298C" w:rsidP="008B7CFD">
      <w:pPr>
        <w:tabs>
          <w:tab w:val="left" w:pos="5103"/>
        </w:tabs>
        <w:spacing w:after="0"/>
        <w:ind w:right="567"/>
        <w:jc w:val="center"/>
        <w:rPr>
          <w:rFonts w:ascii="Times New Roman" w:hAnsi="Times New Roman" w:cs="Times New Roman"/>
          <w:b/>
          <w:sz w:val="26"/>
          <w:szCs w:val="26"/>
          <w:u w:val="single"/>
        </w:rPr>
      </w:pPr>
      <w:r>
        <w:rPr>
          <w:rFonts w:ascii="Times New Roman" w:hAnsi="Times New Roman" w:cs="Times New Roman"/>
          <w:b/>
          <w:sz w:val="26"/>
          <w:szCs w:val="26"/>
          <w:u w:val="single"/>
        </w:rPr>
        <w:t>ACEITAÇÃO DO REQUERIMENTO EXECUTIVO</w:t>
      </w:r>
    </w:p>
    <w:p w:rsidR="009E298C" w:rsidRDefault="009E298C" w:rsidP="008B7CFD">
      <w:pPr>
        <w:tabs>
          <w:tab w:val="left" w:pos="5103"/>
        </w:tabs>
        <w:spacing w:after="0"/>
        <w:ind w:right="567"/>
        <w:jc w:val="both"/>
        <w:rPr>
          <w:rFonts w:ascii="Times New Roman" w:hAnsi="Times New Roman" w:cs="Times New Roman"/>
          <w:sz w:val="26"/>
          <w:szCs w:val="26"/>
        </w:rPr>
      </w:pPr>
    </w:p>
    <w:p w:rsidR="009E298C" w:rsidRDefault="009E298C" w:rsidP="008B7CFD">
      <w:pPr>
        <w:tabs>
          <w:tab w:val="left" w:pos="5103"/>
        </w:tabs>
        <w:spacing w:after="0"/>
        <w:ind w:right="567"/>
        <w:jc w:val="both"/>
        <w:rPr>
          <w:rFonts w:ascii="Times New Roman" w:hAnsi="Times New Roman" w:cs="Times New Roman"/>
          <w:i/>
          <w:sz w:val="26"/>
          <w:szCs w:val="26"/>
        </w:rPr>
      </w:pPr>
      <w:r>
        <w:rPr>
          <w:rFonts w:ascii="Times New Roman" w:hAnsi="Times New Roman" w:cs="Times New Roman"/>
          <w:sz w:val="26"/>
          <w:szCs w:val="26"/>
        </w:rPr>
        <w:t xml:space="preserve">O atual Código do Processo Civil, no n.º 1 do seu art.º 719.º vem estipular que as competências, em processo executivo, encontram-se repartidas entre o juiz, a secretaria e o agente de execução e a este cabe </w:t>
      </w:r>
      <w:r>
        <w:rPr>
          <w:rFonts w:ascii="Times New Roman" w:hAnsi="Times New Roman" w:cs="Times New Roman"/>
          <w:i/>
          <w:sz w:val="26"/>
          <w:szCs w:val="26"/>
        </w:rPr>
        <w:t>“</w:t>
      </w:r>
      <w:proofErr w:type="gramStart"/>
      <w:r>
        <w:rPr>
          <w:rFonts w:ascii="Times New Roman" w:hAnsi="Times New Roman" w:cs="Times New Roman"/>
          <w:i/>
          <w:sz w:val="26"/>
          <w:szCs w:val="26"/>
        </w:rPr>
        <w:t>(</w:t>
      </w:r>
      <w:proofErr w:type="gramEnd"/>
      <w:r>
        <w:rPr>
          <w:rFonts w:ascii="Times New Roman" w:hAnsi="Times New Roman" w:cs="Times New Roman"/>
          <w:i/>
          <w:sz w:val="26"/>
          <w:szCs w:val="26"/>
        </w:rPr>
        <w:t xml:space="preserve">…) efetuar todas as diligências do processo executivo que não estejam atribuídas à secretaria ou sejam da competência do juiz (…). </w:t>
      </w:r>
    </w:p>
    <w:p w:rsidR="009E298C" w:rsidRDefault="009E298C" w:rsidP="008B7CFD">
      <w:pPr>
        <w:tabs>
          <w:tab w:val="left" w:pos="5103"/>
        </w:tabs>
        <w:spacing w:after="0"/>
        <w:ind w:right="567"/>
        <w:jc w:val="both"/>
        <w:rPr>
          <w:rFonts w:ascii="Times New Roman" w:hAnsi="Times New Roman" w:cs="Times New Roman"/>
          <w:i/>
          <w:sz w:val="26"/>
          <w:szCs w:val="26"/>
        </w:rPr>
      </w:pPr>
    </w:p>
    <w:p w:rsidR="009E298C" w:rsidRDefault="009E298C" w:rsidP="008B7CFD">
      <w:pP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Na “Exposição de Motivos” da Proposta de Lei n.º 113/XII, tendo em vista a criação do atual Código do Processo Civil, o legislador não deixou qualquer dúvida acerca da sua posição, quanto às competências repartidas entre juiz, secretaria e agente de execução: </w:t>
      </w:r>
      <w:r>
        <w:rPr>
          <w:rFonts w:ascii="Times New Roman" w:hAnsi="Times New Roman" w:cs="Times New Roman"/>
          <w:i/>
          <w:sz w:val="26"/>
          <w:szCs w:val="26"/>
        </w:rPr>
        <w:t xml:space="preserve">“Cuida-se da clara repartição de competências entre o juiz, a secretaria e o agente de execução, estabelecendo-se que a este cabe efetuar </w:t>
      </w:r>
      <w:r>
        <w:rPr>
          <w:rFonts w:ascii="Times New Roman" w:hAnsi="Times New Roman" w:cs="Times New Roman"/>
          <w:i/>
          <w:sz w:val="26"/>
          <w:szCs w:val="26"/>
          <w:u w:val="single"/>
        </w:rPr>
        <w:t>todas</w:t>
      </w:r>
      <w:r>
        <w:rPr>
          <w:rFonts w:ascii="Times New Roman" w:hAnsi="Times New Roman" w:cs="Times New Roman"/>
          <w:sz w:val="26"/>
          <w:szCs w:val="26"/>
        </w:rPr>
        <w:t xml:space="preserve"> </w:t>
      </w:r>
      <w:r>
        <w:rPr>
          <w:rFonts w:ascii="Times New Roman" w:hAnsi="Times New Roman" w:cs="Times New Roman"/>
          <w:i/>
          <w:sz w:val="26"/>
          <w:szCs w:val="26"/>
        </w:rPr>
        <w:t xml:space="preserve">as diligências do processo executivo que não estejam atribuídas à secretaria ou sejam da competência do juiz.” </w:t>
      </w:r>
      <w:r>
        <w:rPr>
          <w:rFonts w:ascii="Times New Roman" w:hAnsi="Times New Roman" w:cs="Times New Roman"/>
          <w:sz w:val="26"/>
          <w:szCs w:val="26"/>
        </w:rPr>
        <w:t xml:space="preserve">(sublinhado nosso). A palavra “todas”, já anteriormente mencionada na lei, não tem dois significados possíveis: se a lei não disser que a competência é da secretaria ou do juiz, então é do agente de execução. E acrescenta: </w:t>
      </w:r>
      <w:r>
        <w:rPr>
          <w:rFonts w:ascii="Times New Roman" w:hAnsi="Times New Roman" w:cs="Times New Roman"/>
          <w:i/>
          <w:sz w:val="26"/>
          <w:szCs w:val="26"/>
        </w:rPr>
        <w:t xml:space="preserve">“É de esperar que, </w:t>
      </w:r>
      <w:r>
        <w:rPr>
          <w:rFonts w:ascii="Times New Roman" w:hAnsi="Times New Roman" w:cs="Times New Roman"/>
          <w:i/>
          <w:sz w:val="26"/>
          <w:szCs w:val="26"/>
          <w:u w:val="single"/>
        </w:rPr>
        <w:t>em definitivo</w:t>
      </w:r>
      <w:r>
        <w:rPr>
          <w:rFonts w:ascii="Times New Roman" w:hAnsi="Times New Roman" w:cs="Times New Roman"/>
          <w:i/>
          <w:sz w:val="26"/>
          <w:szCs w:val="26"/>
        </w:rPr>
        <w:t xml:space="preserve">, os intervenientes processuais assumam e observem a repartição de competências fixada na lei, por forma a evitar intervenções ou </w:t>
      </w:r>
      <w:proofErr w:type="spellStart"/>
      <w:r>
        <w:rPr>
          <w:rFonts w:ascii="Times New Roman" w:hAnsi="Times New Roman" w:cs="Times New Roman"/>
          <w:i/>
          <w:sz w:val="26"/>
          <w:szCs w:val="26"/>
        </w:rPr>
        <w:t>actos</w:t>
      </w:r>
      <w:proofErr w:type="spellEnd"/>
      <w:r>
        <w:rPr>
          <w:rFonts w:ascii="Times New Roman" w:hAnsi="Times New Roman" w:cs="Times New Roman"/>
          <w:i/>
          <w:sz w:val="26"/>
          <w:szCs w:val="26"/>
        </w:rPr>
        <w:t xml:space="preserve"> desnecessários, gerando perdas de tempo numa tramitação que se quer célere e eficiente.” </w:t>
      </w:r>
      <w:r>
        <w:rPr>
          <w:rFonts w:ascii="Times New Roman" w:hAnsi="Times New Roman" w:cs="Times New Roman"/>
          <w:sz w:val="26"/>
          <w:szCs w:val="26"/>
        </w:rPr>
        <w:t>(sublinhado nosso). Aqui, “em definitivo” o legislador ordena que se cumpra a sua vontade sem discussão.</w:t>
      </w:r>
    </w:p>
    <w:p w:rsidR="009E298C" w:rsidRDefault="009E298C" w:rsidP="008B7CFD">
      <w:pPr>
        <w:tabs>
          <w:tab w:val="left" w:pos="5103"/>
        </w:tabs>
        <w:spacing w:after="0"/>
        <w:ind w:right="567"/>
        <w:jc w:val="both"/>
        <w:rPr>
          <w:rFonts w:ascii="Times New Roman" w:hAnsi="Times New Roman" w:cs="Times New Roman"/>
          <w:sz w:val="26"/>
          <w:szCs w:val="26"/>
        </w:rPr>
      </w:pPr>
    </w:p>
    <w:p w:rsidR="009E298C" w:rsidRDefault="009E298C" w:rsidP="008B7CFD">
      <w:pPr>
        <w:tabs>
          <w:tab w:val="left" w:pos="5103"/>
        </w:tabs>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Nesse sentido </w:t>
      </w:r>
      <w:r>
        <w:rPr>
          <w:rFonts w:ascii="Times New Roman" w:hAnsi="Times New Roman" w:cs="Times New Roman"/>
          <w:sz w:val="26"/>
          <w:szCs w:val="26"/>
          <w:shd w:val="clear" w:color="auto" w:fill="FFFFFF"/>
        </w:rPr>
        <w:t>decisões de tribunais superiores:</w:t>
      </w:r>
      <w:r>
        <w:rPr>
          <w:rFonts w:ascii="Times New Roman" w:hAnsi="Times New Roman" w:cs="Times New Roman"/>
          <w:sz w:val="26"/>
          <w:szCs w:val="26"/>
        </w:rPr>
        <w:t xml:space="preserve"> - Acórdão de 15-05-2014, Proc.º n.º 5523/13.9T BBRG.G1, do Tribunal da Relação de Guimarães, disponível em </w:t>
      </w:r>
      <w:hyperlink r:id="rId6" w:history="1">
        <w:r>
          <w:rPr>
            <w:rStyle w:val="Hiperligao"/>
            <w:rFonts w:ascii="Times New Roman" w:hAnsi="Times New Roman" w:cs="Times New Roman"/>
            <w:sz w:val="26"/>
            <w:szCs w:val="26"/>
            <w:shd w:val="clear" w:color="auto" w:fill="FFFFFF"/>
          </w:rPr>
          <w:t>http://www.dgsi.pt/jtrg.nsf/86c25a698e4e7cb7802579 ec004 d3832/2550182ffce379c480257cee003bd973?OpenDocument</w:t>
        </w:r>
      </w:hyperlink>
      <w:r>
        <w:rPr>
          <w:rFonts w:ascii="Times New Roman" w:hAnsi="Times New Roman" w:cs="Times New Roman"/>
          <w:sz w:val="26"/>
          <w:szCs w:val="26"/>
          <w:shd w:val="clear" w:color="auto" w:fill="FFFFFF"/>
        </w:rPr>
        <w:t>:</w:t>
      </w:r>
      <w:r>
        <w:rPr>
          <w:rStyle w:val="Hiperligao"/>
          <w:rFonts w:ascii="Times New Roman" w:hAnsi="Times New Roman" w:cs="Times New Roman"/>
          <w:sz w:val="26"/>
          <w:szCs w:val="26"/>
          <w:shd w:val="clear" w:color="auto" w:fill="FFFFFF"/>
        </w:rPr>
        <w:t>“</w:t>
      </w:r>
      <w:r>
        <w:rPr>
          <w:rFonts w:ascii="Times New Roman" w:hAnsi="Times New Roman" w:cs="Times New Roman"/>
          <w:i/>
          <w:sz w:val="26"/>
          <w:szCs w:val="26"/>
        </w:rPr>
        <w:t>II.FUNDAMENTAÇÃO Apuradas as situações que determinem a extinção da execução</w:t>
      </w:r>
      <w:proofErr w:type="gramStart"/>
      <w:r>
        <w:rPr>
          <w:rFonts w:ascii="Times New Roman" w:hAnsi="Times New Roman" w:cs="Times New Roman"/>
          <w:i/>
          <w:sz w:val="26"/>
          <w:szCs w:val="26"/>
        </w:rPr>
        <w:t>,</w:t>
      </w:r>
      <w:proofErr w:type="gramEnd"/>
      <w:r>
        <w:rPr>
          <w:rFonts w:ascii="Times New Roman" w:hAnsi="Times New Roman" w:cs="Times New Roman"/>
          <w:i/>
          <w:sz w:val="26"/>
          <w:szCs w:val="26"/>
        </w:rPr>
        <w:t xml:space="preserve"> importa saber a quem compete declarar a extinção da execução, se ao agente de execução ou, antes ao juiz. A este propósito importa ter em conta que por força do disposto no nº 1 do artigo 723º do NCPC, se estabelece que sem prejuízo de outras intervenções que a lei </w:t>
      </w:r>
      <w:r>
        <w:rPr>
          <w:rFonts w:ascii="Times New Roman" w:hAnsi="Times New Roman" w:cs="Times New Roman"/>
          <w:i/>
          <w:sz w:val="26"/>
          <w:szCs w:val="26"/>
        </w:rPr>
        <w:lastRenderedPageBreak/>
        <w:t xml:space="preserve">especificamente lhe atribui, compete ao juiz (…). Por sua vez, </w:t>
      </w:r>
      <w:r>
        <w:rPr>
          <w:rFonts w:ascii="Times New Roman" w:hAnsi="Times New Roman" w:cs="Times New Roman"/>
          <w:i/>
          <w:sz w:val="26"/>
          <w:szCs w:val="26"/>
          <w:u w:val="single"/>
        </w:rPr>
        <w:t>a competência do agente de execução é residual,</w:t>
      </w:r>
      <w:r>
        <w:rPr>
          <w:rFonts w:ascii="Times New Roman" w:hAnsi="Times New Roman" w:cs="Times New Roman"/>
          <w:i/>
          <w:sz w:val="26"/>
          <w:szCs w:val="26"/>
        </w:rPr>
        <w:t xml:space="preserve"> dado que lhe compete efetuar todas as diligências do processo executivo que não estejam atribuídas à secretaria ou sejam da competência do juiz (…).”. </w:t>
      </w:r>
      <w:proofErr w:type="gramStart"/>
      <w:r>
        <w:rPr>
          <w:rFonts w:ascii="Times New Roman" w:hAnsi="Times New Roman" w:cs="Times New Roman"/>
          <w:i/>
          <w:sz w:val="26"/>
          <w:szCs w:val="26"/>
        </w:rPr>
        <w:t>(</w:t>
      </w:r>
      <w:r>
        <w:rPr>
          <w:rFonts w:ascii="Times New Roman" w:hAnsi="Times New Roman" w:cs="Times New Roman"/>
          <w:sz w:val="26"/>
          <w:szCs w:val="26"/>
        </w:rPr>
        <w:t>sublinhados  nossos</w:t>
      </w:r>
      <w:proofErr w:type="gramEnd"/>
      <w:r>
        <w:rPr>
          <w:rFonts w:ascii="Times New Roman" w:hAnsi="Times New Roman" w:cs="Times New Roman"/>
          <w:sz w:val="26"/>
          <w:szCs w:val="26"/>
        </w:rPr>
        <w:t>);</w:t>
      </w:r>
    </w:p>
    <w:p w:rsidR="009E298C" w:rsidRDefault="009E298C" w:rsidP="008B7CFD">
      <w:pPr>
        <w:spacing w:after="0"/>
        <w:ind w:right="567"/>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 Acórdão de 07-06-2016, Proc.º n.º 302/13.6 TBLSA.C, do Tribunal da Relação de Coimbra, disponível em </w:t>
      </w:r>
      <w:hyperlink r:id="rId7" w:history="1">
        <w:r>
          <w:rPr>
            <w:rStyle w:val="Hiperligao"/>
            <w:rFonts w:ascii="Times New Roman" w:hAnsi="Times New Roman" w:cs="Times New Roman"/>
            <w:bCs/>
            <w:sz w:val="26"/>
            <w:szCs w:val="26"/>
            <w:shd w:val="clear" w:color="auto" w:fill="FFFFFF"/>
          </w:rPr>
          <w:t>http://www.dgsi.pt/jtrc.nsf/-4E18E83BE8004E7280257FDC003842D9</w:t>
        </w:r>
      </w:hyperlink>
      <w:r>
        <w:rPr>
          <w:rFonts w:ascii="Times New Roman" w:hAnsi="Times New Roman" w:cs="Times New Roman"/>
          <w:bCs/>
          <w:sz w:val="26"/>
          <w:szCs w:val="26"/>
          <w:shd w:val="clear" w:color="auto" w:fill="FFFFFF"/>
        </w:rPr>
        <w:t xml:space="preserve">: </w:t>
      </w:r>
      <w:r>
        <w:rPr>
          <w:rFonts w:ascii="Times New Roman" w:hAnsi="Times New Roman" w:cs="Times New Roman"/>
          <w:bCs/>
          <w:i/>
          <w:sz w:val="26"/>
          <w:szCs w:val="26"/>
          <w:shd w:val="clear" w:color="auto" w:fill="FFFFFF"/>
        </w:rPr>
        <w:t>”</w:t>
      </w:r>
      <w:proofErr w:type="gramStart"/>
      <w:r>
        <w:rPr>
          <w:rFonts w:ascii="Times New Roman" w:hAnsi="Times New Roman" w:cs="Times New Roman"/>
          <w:bCs/>
          <w:i/>
          <w:sz w:val="26"/>
          <w:szCs w:val="26"/>
          <w:shd w:val="clear" w:color="auto" w:fill="FFFFFF"/>
        </w:rPr>
        <w:t>II–</w:t>
      </w:r>
      <w:proofErr w:type="gramEnd"/>
      <w:r>
        <w:rPr>
          <w:rFonts w:ascii="Times New Roman" w:hAnsi="Times New Roman" w:cs="Times New Roman"/>
          <w:bCs/>
          <w:i/>
          <w:sz w:val="26"/>
          <w:szCs w:val="26"/>
          <w:shd w:val="clear" w:color="auto" w:fill="FFFFFF"/>
        </w:rPr>
        <w:t xml:space="preserve"> APRECIAÇÃO DO OBJECTO DO RECURSO </w:t>
      </w:r>
      <w:r>
        <w:rPr>
          <w:rFonts w:ascii="Times New Roman" w:hAnsi="Times New Roman" w:cs="Times New Roman"/>
          <w:i/>
          <w:sz w:val="26"/>
          <w:szCs w:val="26"/>
          <w:shd w:val="clear" w:color="auto" w:fill="FFFFFF"/>
        </w:rPr>
        <w:t>Face ao modo como se encontra configurada a execução face ao novo regime da ação executiva iniciado com a publicação do DL. 38/2003, de 08.03, é ao agente de execução que se encontra atribuída a competência para a prática de </w:t>
      </w:r>
      <w:r>
        <w:rPr>
          <w:rFonts w:ascii="Times New Roman" w:hAnsi="Times New Roman" w:cs="Times New Roman"/>
          <w:i/>
          <w:iCs/>
          <w:sz w:val="26"/>
          <w:szCs w:val="26"/>
          <w:u w:val="single"/>
          <w:shd w:val="clear" w:color="auto" w:fill="FFFFFF"/>
        </w:rPr>
        <w:t xml:space="preserve">todas as diligências do processo </w:t>
      </w:r>
      <w:proofErr w:type="gramStart"/>
      <w:r>
        <w:rPr>
          <w:rFonts w:ascii="Times New Roman" w:hAnsi="Times New Roman" w:cs="Times New Roman"/>
          <w:i/>
          <w:iCs/>
          <w:sz w:val="26"/>
          <w:szCs w:val="26"/>
          <w:u w:val="single"/>
          <w:shd w:val="clear" w:color="auto" w:fill="FFFFFF"/>
        </w:rPr>
        <w:t>executivo</w:t>
      </w:r>
      <w:r>
        <w:rPr>
          <w:rFonts w:ascii="Times New Roman" w:hAnsi="Times New Roman" w:cs="Times New Roman"/>
          <w:i/>
          <w:iCs/>
          <w:sz w:val="26"/>
          <w:szCs w:val="26"/>
          <w:shd w:val="clear" w:color="auto" w:fill="FFFFFF"/>
        </w:rPr>
        <w:t> </w:t>
      </w:r>
      <w:r>
        <w:rPr>
          <w:rFonts w:ascii="Times New Roman" w:hAnsi="Times New Roman" w:cs="Times New Roman"/>
          <w:i/>
          <w:sz w:val="26"/>
          <w:szCs w:val="26"/>
          <w:shd w:val="clear" w:color="auto" w:fill="FFFFFF"/>
        </w:rPr>
        <w:t>(artigo</w:t>
      </w:r>
      <w:proofErr w:type="gramEnd"/>
      <w:r>
        <w:rPr>
          <w:rFonts w:ascii="Times New Roman" w:hAnsi="Times New Roman" w:cs="Times New Roman"/>
          <w:i/>
          <w:sz w:val="26"/>
          <w:szCs w:val="26"/>
          <w:shd w:val="clear" w:color="auto" w:fill="FFFFFF"/>
        </w:rPr>
        <w:t xml:space="preserve"> 719º CCPC), </w:t>
      </w:r>
      <w:r>
        <w:rPr>
          <w:rFonts w:ascii="Times New Roman" w:hAnsi="Times New Roman" w:cs="Times New Roman"/>
          <w:i/>
          <w:sz w:val="26"/>
          <w:szCs w:val="26"/>
          <w:u w:val="single"/>
          <w:shd w:val="clear" w:color="auto" w:fill="FFFFFF"/>
        </w:rPr>
        <w:t>o </w:t>
      </w:r>
      <w:r>
        <w:rPr>
          <w:rFonts w:ascii="Times New Roman" w:hAnsi="Times New Roman" w:cs="Times New Roman"/>
          <w:i/>
          <w:iCs/>
          <w:sz w:val="26"/>
          <w:szCs w:val="26"/>
          <w:u w:val="single"/>
          <w:shd w:val="clear" w:color="auto" w:fill="FFFFFF"/>
        </w:rPr>
        <w:t>impulso e a gestão corrente</w:t>
      </w:r>
      <w:r>
        <w:rPr>
          <w:rFonts w:ascii="Times New Roman" w:hAnsi="Times New Roman" w:cs="Times New Roman"/>
          <w:i/>
          <w:sz w:val="26"/>
          <w:szCs w:val="26"/>
          <w:u w:val="single"/>
          <w:shd w:val="clear" w:color="auto" w:fill="FFFFFF"/>
        </w:rPr>
        <w:t> do processo executivo</w:t>
      </w:r>
      <w:r>
        <w:rPr>
          <w:rFonts w:ascii="Times New Roman" w:hAnsi="Times New Roman" w:cs="Times New Roman"/>
          <w:i/>
          <w:sz w:val="26"/>
          <w:szCs w:val="26"/>
          <w:shd w:val="clear" w:color="auto" w:fill="FFFFFF"/>
        </w:rPr>
        <w:t xml:space="preserve"> e ainda </w:t>
      </w:r>
      <w:r>
        <w:rPr>
          <w:rFonts w:ascii="Times New Roman" w:hAnsi="Times New Roman" w:cs="Times New Roman"/>
          <w:i/>
          <w:sz w:val="26"/>
          <w:szCs w:val="26"/>
          <w:u w:val="single"/>
          <w:shd w:val="clear" w:color="auto" w:fill="FFFFFF"/>
        </w:rPr>
        <w:t>o </w:t>
      </w:r>
      <w:r>
        <w:rPr>
          <w:rFonts w:ascii="Times New Roman" w:hAnsi="Times New Roman" w:cs="Times New Roman"/>
          <w:i/>
          <w:iCs/>
          <w:sz w:val="26"/>
          <w:szCs w:val="26"/>
          <w:u w:val="single"/>
          <w:shd w:val="clear" w:color="auto" w:fill="FFFFFF"/>
        </w:rPr>
        <w:t>poder de geral direção da ação executiva</w:t>
      </w:r>
      <w:r>
        <w:rPr>
          <w:rFonts w:ascii="Times New Roman" w:hAnsi="Times New Roman" w:cs="Times New Roman"/>
          <w:b/>
          <w:bCs/>
          <w:i/>
          <w:iCs/>
          <w:sz w:val="26"/>
          <w:szCs w:val="26"/>
          <w:u w:val="single"/>
          <w:shd w:val="clear" w:color="auto" w:fill="FFFFFF"/>
          <w:vertAlign w:val="superscript"/>
        </w:rPr>
        <w:t xml:space="preserve"> </w:t>
      </w:r>
      <w:r>
        <w:rPr>
          <w:rFonts w:ascii="Times New Roman" w:hAnsi="Times New Roman" w:cs="Times New Roman"/>
          <w:i/>
          <w:sz w:val="26"/>
          <w:szCs w:val="26"/>
          <w:shd w:val="clear" w:color="auto" w:fill="FFFFFF"/>
        </w:rPr>
        <w:t xml:space="preserve">(artigo 719º) – com o significado de que </w:t>
      </w:r>
      <w:r>
        <w:rPr>
          <w:rFonts w:ascii="Times New Roman" w:hAnsi="Times New Roman" w:cs="Times New Roman"/>
          <w:i/>
          <w:sz w:val="26"/>
          <w:szCs w:val="26"/>
          <w:u w:val="single"/>
          <w:shd w:val="clear" w:color="auto" w:fill="FFFFFF"/>
        </w:rPr>
        <w:t>«a este cumpre decidir em cada momento qual o ato a praticar, qual a diligência a efetuar, se deve ou não ouvir o exequente e o executado, se deve aguardar a resposta de uma entidade pública ou o resultado de uma venda.»”</w:t>
      </w:r>
      <w:r>
        <w:rPr>
          <w:rFonts w:ascii="Times New Roman" w:hAnsi="Times New Roman" w:cs="Times New Roman"/>
          <w:sz w:val="26"/>
          <w:szCs w:val="26"/>
          <w:shd w:val="clear" w:color="auto" w:fill="FFFFFF"/>
        </w:rPr>
        <w:t xml:space="preserve"> (sublinhados nossos); </w:t>
      </w:r>
    </w:p>
    <w:p w:rsidR="009E298C" w:rsidRDefault="009E298C" w:rsidP="008B7CFD">
      <w:pPr>
        <w:spacing w:after="0"/>
        <w:ind w:right="567"/>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 Acórdão de 23-03-2017, Proc.º n.º 3133/07.9TJLSB.1.E, do Tribunal da Relação de Évora, disponível em </w:t>
      </w:r>
      <w:hyperlink r:id="rId8" w:history="1">
        <w:r>
          <w:rPr>
            <w:rStyle w:val="Hiperligao"/>
            <w:rFonts w:ascii="Times New Roman" w:hAnsi="Times New Roman" w:cs="Times New Roman"/>
            <w:sz w:val="26"/>
            <w:szCs w:val="26"/>
          </w:rPr>
          <w:t>http://www.dgsi.pt/jtre. nsf/134973db04f39bf2802579bf005f080b/1b99997fe9faee88802580fa0058d8b6?OpenDocumen  t~</w:t>
        </w:r>
      </w:hyperlink>
      <w:r>
        <w:rPr>
          <w:rFonts w:ascii="Times New Roman" w:hAnsi="Times New Roman" w:cs="Times New Roman"/>
          <w:sz w:val="26"/>
          <w:szCs w:val="26"/>
        </w:rPr>
        <w:t>: ”</w:t>
      </w:r>
      <w:r>
        <w:rPr>
          <w:rFonts w:ascii="Times New Roman" w:hAnsi="Times New Roman" w:cs="Times New Roman"/>
          <w:b/>
          <w:bCs/>
          <w:i/>
          <w:sz w:val="26"/>
          <w:szCs w:val="26"/>
          <w:shd w:val="clear" w:color="auto" w:fill="FFFFFF"/>
        </w:rPr>
        <w:t xml:space="preserve">III. 3. Síntese conclusiva: </w:t>
      </w:r>
      <w:r>
        <w:rPr>
          <w:rFonts w:ascii="Times New Roman" w:hAnsi="Times New Roman" w:cs="Times New Roman"/>
          <w:i/>
          <w:sz w:val="26"/>
          <w:szCs w:val="26"/>
          <w:shd w:val="clear" w:color="auto" w:fill="FFFFFF"/>
        </w:rPr>
        <w:t xml:space="preserve">II – (…) o estatuído nos artigos 719.º e 723.º do CPC, que regem </w:t>
      </w:r>
      <w:proofErr w:type="spellStart"/>
      <w:r>
        <w:rPr>
          <w:rFonts w:ascii="Times New Roman" w:hAnsi="Times New Roman" w:cs="Times New Roman"/>
          <w:i/>
          <w:sz w:val="26"/>
          <w:szCs w:val="26"/>
          <w:shd w:val="clear" w:color="auto" w:fill="FFFFFF"/>
        </w:rPr>
        <w:t>respectivamente</w:t>
      </w:r>
      <w:proofErr w:type="spellEnd"/>
      <w:r>
        <w:rPr>
          <w:rFonts w:ascii="Times New Roman" w:hAnsi="Times New Roman" w:cs="Times New Roman"/>
          <w:i/>
          <w:sz w:val="26"/>
          <w:szCs w:val="26"/>
          <w:shd w:val="clear" w:color="auto" w:fill="FFFFFF"/>
        </w:rPr>
        <w:t xml:space="preserve"> quanto à repartição de competências entre o agente de execução, a secretaria e o juiz, a competência para declarar (…), </w:t>
      </w:r>
      <w:r>
        <w:rPr>
          <w:rFonts w:ascii="Times New Roman" w:hAnsi="Times New Roman" w:cs="Times New Roman"/>
          <w:i/>
          <w:sz w:val="26"/>
          <w:szCs w:val="26"/>
          <w:u w:val="single"/>
          <w:shd w:val="clear" w:color="auto" w:fill="FFFFFF"/>
        </w:rPr>
        <w:t>está primeiramente cometida ao agente de execução</w:t>
      </w:r>
      <w:r>
        <w:rPr>
          <w:rFonts w:ascii="Times New Roman" w:hAnsi="Times New Roman" w:cs="Times New Roman"/>
          <w:i/>
          <w:sz w:val="26"/>
          <w:szCs w:val="26"/>
          <w:shd w:val="clear" w:color="auto" w:fill="FFFFFF"/>
        </w:rPr>
        <w:t xml:space="preserve">, salvo se </w:t>
      </w:r>
      <w:r>
        <w:rPr>
          <w:rFonts w:ascii="Times New Roman" w:hAnsi="Times New Roman" w:cs="Times New Roman"/>
          <w:i/>
          <w:sz w:val="26"/>
          <w:szCs w:val="26"/>
          <w:u w:val="single"/>
          <w:shd w:val="clear" w:color="auto" w:fill="FFFFFF"/>
        </w:rPr>
        <w:t>tiver sido suscitada ao juiz</w:t>
      </w:r>
      <w:r>
        <w:rPr>
          <w:rFonts w:ascii="Times New Roman" w:hAnsi="Times New Roman" w:cs="Times New Roman"/>
          <w:i/>
          <w:sz w:val="26"/>
          <w:szCs w:val="26"/>
          <w:shd w:val="clear" w:color="auto" w:fill="FFFFFF"/>
        </w:rPr>
        <w:t xml:space="preserve"> pelo agente de execução ou pelas partes (alínea d) do artigo 723.º do CPC).”</w:t>
      </w:r>
      <w:r>
        <w:rPr>
          <w:rFonts w:ascii="Times New Roman" w:hAnsi="Times New Roman" w:cs="Times New Roman"/>
          <w:sz w:val="26"/>
          <w:szCs w:val="26"/>
          <w:shd w:val="clear" w:color="auto" w:fill="FFFFFF"/>
        </w:rPr>
        <w:t xml:space="preserve"> (sublinhados nossos).</w:t>
      </w:r>
    </w:p>
    <w:p w:rsidR="009E298C" w:rsidRDefault="009E298C" w:rsidP="008B7CFD">
      <w:pPr>
        <w:spacing w:after="0"/>
        <w:ind w:right="567"/>
        <w:jc w:val="both"/>
        <w:rPr>
          <w:rFonts w:ascii="Times New Roman" w:hAnsi="Times New Roman" w:cs="Times New Roman"/>
          <w:sz w:val="26"/>
          <w:szCs w:val="26"/>
          <w:shd w:val="clear" w:color="auto" w:fill="FFFFFF"/>
        </w:rPr>
      </w:pPr>
    </w:p>
    <w:p w:rsidR="009E298C" w:rsidRDefault="009E298C" w:rsidP="008B7CFD">
      <w:pPr>
        <w:spacing w:after="0"/>
        <w:ind w:right="567"/>
        <w:jc w:val="both"/>
        <w:rPr>
          <w:rFonts w:ascii="Times New Roman" w:hAnsi="Times New Roman" w:cs="Times New Roman"/>
          <w:sz w:val="26"/>
          <w:szCs w:val="26"/>
        </w:rPr>
      </w:pPr>
      <w:r>
        <w:rPr>
          <w:rFonts w:ascii="Times New Roman" w:hAnsi="Times New Roman" w:cs="Times New Roman"/>
          <w:sz w:val="26"/>
          <w:szCs w:val="26"/>
        </w:rPr>
        <w:t>Como não existe uma atribuição própria da secretaria estabelecida nos n.ºs 3 e 4 do mesmo art.º 719.º, nem uma competência genérica definida nas alíneas do n.º 1 do art.º 723.º do CPC ou uma “intervenção” prevista no corpo desse mesmo n.º 1 para decidir a rejeição e o recebimento do requerimento executivo em processo sumário, esta competência, por exclusão de partes e pela aplicação daqueles normativos, é do agente de execução, pelo que, cumprindo a lei e a vontade do legislador e com o suporte da jurisprudência, cumpre ao agente de execução decidir.</w:t>
      </w:r>
    </w:p>
    <w:p w:rsidR="009E298C" w:rsidRDefault="009E298C" w:rsidP="008B7CFD">
      <w:pPr>
        <w:spacing w:after="0"/>
        <w:ind w:right="567"/>
        <w:jc w:val="both"/>
        <w:rPr>
          <w:rFonts w:ascii="Times New Roman" w:hAnsi="Times New Roman" w:cs="Times New Roman"/>
          <w:sz w:val="26"/>
          <w:szCs w:val="26"/>
        </w:rPr>
      </w:pPr>
    </w:p>
    <w:p w:rsidR="00E803E4" w:rsidRDefault="00E803E4" w:rsidP="008B7CFD">
      <w:pPr>
        <w:spacing w:after="0"/>
        <w:ind w:right="567"/>
        <w:jc w:val="both"/>
        <w:rPr>
          <w:rFonts w:ascii="Times New Roman" w:hAnsi="Times New Roman" w:cs="Times New Roman"/>
          <w:sz w:val="26"/>
          <w:szCs w:val="26"/>
        </w:rPr>
      </w:pPr>
      <w:r w:rsidRPr="00E345D3">
        <w:rPr>
          <w:rFonts w:ascii="Times New Roman" w:hAnsi="Times New Roman" w:cs="Times New Roman"/>
          <w:sz w:val="26"/>
          <w:szCs w:val="26"/>
        </w:rPr>
        <w:t xml:space="preserve">Neste processo o requerimento executivo cumpre os requisitos do n.º 1 do art.º 724.º do CPC. </w:t>
      </w:r>
      <w:r>
        <w:rPr>
          <w:rFonts w:ascii="Times New Roman" w:hAnsi="Times New Roman" w:cs="Times New Roman"/>
          <w:sz w:val="26"/>
          <w:szCs w:val="26"/>
        </w:rPr>
        <w:t xml:space="preserve">A </w:t>
      </w:r>
      <w:r w:rsidRPr="00E345D3">
        <w:rPr>
          <w:rFonts w:ascii="Times New Roman" w:hAnsi="Times New Roman" w:cs="Times New Roman"/>
          <w:sz w:val="26"/>
          <w:szCs w:val="26"/>
        </w:rPr>
        <w:t xml:space="preserve">decisão judicial condenatória </w:t>
      </w:r>
      <w:r>
        <w:rPr>
          <w:rFonts w:ascii="Times New Roman" w:hAnsi="Times New Roman" w:cs="Times New Roman"/>
          <w:sz w:val="26"/>
          <w:szCs w:val="26"/>
        </w:rPr>
        <w:t xml:space="preserve">que serve de base à </w:t>
      </w:r>
      <w:r>
        <w:rPr>
          <w:rFonts w:ascii="Times New Roman" w:hAnsi="Times New Roman" w:cs="Times New Roman"/>
          <w:sz w:val="26"/>
          <w:szCs w:val="26"/>
        </w:rPr>
        <w:lastRenderedPageBreak/>
        <w:t xml:space="preserve">execução é título executivo nos termos da alínea a) do n.º 1 do art.º 703.º do CPC. A sentença condenou </w:t>
      </w:r>
      <w:proofErr w:type="gramStart"/>
      <w:r>
        <w:rPr>
          <w:rFonts w:ascii="Times New Roman" w:hAnsi="Times New Roman" w:cs="Times New Roman"/>
          <w:sz w:val="26"/>
          <w:szCs w:val="26"/>
        </w:rPr>
        <w:t>o(a)(s</w:t>
      </w:r>
      <w:proofErr w:type="gramEnd"/>
      <w:r>
        <w:rPr>
          <w:rFonts w:ascii="Times New Roman" w:hAnsi="Times New Roman" w:cs="Times New Roman"/>
          <w:sz w:val="26"/>
          <w:szCs w:val="26"/>
        </w:rPr>
        <w:t>) executado(a)(s) em pagamento de quantia certa e em prestação de facto, pelo que estamos perante uma cumulação de execuções permitida pelo art.º 710.º do CPC.</w:t>
      </w:r>
    </w:p>
    <w:p w:rsidR="00E803E4" w:rsidRDefault="00E803E4" w:rsidP="008B7CFD">
      <w:pPr>
        <w:spacing w:after="0"/>
        <w:ind w:right="567"/>
        <w:jc w:val="both"/>
        <w:rPr>
          <w:rFonts w:ascii="Times New Roman" w:hAnsi="Times New Roman" w:cs="Times New Roman"/>
          <w:sz w:val="26"/>
          <w:szCs w:val="26"/>
        </w:rPr>
      </w:pPr>
    </w:p>
    <w:p w:rsidR="00E803E4" w:rsidRDefault="00E803E4" w:rsidP="008B7CFD">
      <w:pPr>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O processo é de </w:t>
      </w:r>
      <w:r w:rsidRPr="00E345D3">
        <w:rPr>
          <w:rFonts w:ascii="Times New Roman" w:hAnsi="Times New Roman" w:cs="Times New Roman"/>
          <w:sz w:val="26"/>
          <w:szCs w:val="26"/>
        </w:rPr>
        <w:t xml:space="preserve">execução de sentença nos próprios atos, pelo que, nos termos do n.º 2 do art.º 626.º do CPC, </w:t>
      </w:r>
      <w:r>
        <w:rPr>
          <w:rFonts w:ascii="Times New Roman" w:hAnsi="Times New Roman" w:cs="Times New Roman"/>
          <w:sz w:val="26"/>
          <w:szCs w:val="26"/>
        </w:rPr>
        <w:t xml:space="preserve">segue a tramitação prevista para a forma sumária quanto à execução para pagamento de quantia certa. Quanto à execução para prestação de facto segue a forma única, como prevê o n.º 4 do art.º 550.º do CPC. Assim, </w:t>
      </w:r>
      <w:r w:rsidRPr="00E345D3">
        <w:rPr>
          <w:rFonts w:ascii="Times New Roman" w:hAnsi="Times New Roman" w:cs="Times New Roman"/>
          <w:sz w:val="26"/>
          <w:szCs w:val="26"/>
        </w:rPr>
        <w:t xml:space="preserve">decide-se aceitar o requerimento executivo. </w:t>
      </w:r>
      <w:r>
        <w:rPr>
          <w:rFonts w:ascii="Times New Roman" w:hAnsi="Times New Roman" w:cs="Times New Roman"/>
          <w:sz w:val="26"/>
          <w:szCs w:val="26"/>
        </w:rPr>
        <w:t>O processo terá tramitação distinta, adaptada a cada uma das execuções cumuladas.</w:t>
      </w:r>
    </w:p>
    <w:p w:rsidR="00E803E4" w:rsidRDefault="00E803E4" w:rsidP="008B7CFD">
      <w:pPr>
        <w:spacing w:after="0"/>
        <w:ind w:right="567"/>
        <w:jc w:val="both"/>
        <w:rPr>
          <w:rFonts w:ascii="Times New Roman" w:hAnsi="Times New Roman" w:cs="Times New Roman"/>
          <w:sz w:val="26"/>
          <w:szCs w:val="26"/>
        </w:rPr>
      </w:pPr>
    </w:p>
    <w:p w:rsidR="009E298C" w:rsidRDefault="00DD64E0" w:rsidP="008B7CFD">
      <w:pPr>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Quanto à execução para pagamento de quantia certa, o(a) exequente veio nomear à penhora…, cuja penhora não viola lei imperativa nem ofende o princípio da proporcionalidade, tal como previsto nos n.ºs 1 e 2 do art.º 751.º do CPC, pelo que decide-se penhorar </w:t>
      </w:r>
      <w:proofErr w:type="gramStart"/>
      <w:r>
        <w:rPr>
          <w:rFonts w:ascii="Times New Roman" w:hAnsi="Times New Roman" w:cs="Times New Roman"/>
          <w:sz w:val="26"/>
          <w:szCs w:val="26"/>
        </w:rPr>
        <w:t>tal(</w:t>
      </w:r>
      <w:proofErr w:type="spellStart"/>
      <w:r>
        <w:rPr>
          <w:rFonts w:ascii="Times New Roman" w:hAnsi="Times New Roman" w:cs="Times New Roman"/>
          <w:sz w:val="26"/>
          <w:szCs w:val="26"/>
        </w:rPr>
        <w:t>is</w:t>
      </w:r>
      <w:proofErr w:type="spellEnd"/>
      <w:proofErr w:type="gramEnd"/>
      <w:r>
        <w:rPr>
          <w:rFonts w:ascii="Times New Roman" w:hAnsi="Times New Roman" w:cs="Times New Roman"/>
          <w:sz w:val="26"/>
          <w:szCs w:val="26"/>
        </w:rPr>
        <w:t>) bem(</w:t>
      </w:r>
      <w:proofErr w:type="spellStart"/>
      <w:r>
        <w:rPr>
          <w:rFonts w:ascii="Times New Roman" w:hAnsi="Times New Roman" w:cs="Times New Roman"/>
          <w:sz w:val="26"/>
          <w:szCs w:val="26"/>
        </w:rPr>
        <w:t>ns</w:t>
      </w:r>
      <w:proofErr w:type="spellEnd"/>
      <w:r>
        <w:rPr>
          <w:rFonts w:ascii="Times New Roman" w:hAnsi="Times New Roman" w:cs="Times New Roman"/>
          <w:sz w:val="26"/>
          <w:szCs w:val="26"/>
        </w:rPr>
        <w:t xml:space="preserve">). </w:t>
      </w:r>
    </w:p>
    <w:p w:rsidR="00A40523" w:rsidRDefault="00A40523" w:rsidP="008B7CFD">
      <w:pPr>
        <w:spacing w:after="0"/>
        <w:ind w:right="567"/>
        <w:jc w:val="both"/>
        <w:rPr>
          <w:rFonts w:ascii="Times New Roman" w:hAnsi="Times New Roman" w:cs="Times New Roman"/>
          <w:sz w:val="26"/>
          <w:szCs w:val="26"/>
        </w:rPr>
      </w:pPr>
    </w:p>
    <w:p w:rsidR="00397586" w:rsidRDefault="00397586" w:rsidP="008B7CFD">
      <w:pPr>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Quanto à execução para prestação de facto a citação prevista no n.º 2 do art.º 868.º do CPC será realizada em conjunto com a notificação do executado para deduzir oposição </w:t>
      </w:r>
      <w:r w:rsidR="00F94CCB">
        <w:rPr>
          <w:rFonts w:ascii="Times New Roman" w:hAnsi="Times New Roman" w:cs="Times New Roman"/>
          <w:sz w:val="26"/>
          <w:szCs w:val="26"/>
        </w:rPr>
        <w:t>ao pagamento</w:t>
      </w:r>
      <w:r>
        <w:rPr>
          <w:rFonts w:ascii="Times New Roman" w:hAnsi="Times New Roman" w:cs="Times New Roman"/>
          <w:sz w:val="26"/>
          <w:szCs w:val="26"/>
        </w:rPr>
        <w:t>, conforme dispõe o n.º 4 do art.º 626.º do CPC.</w:t>
      </w:r>
    </w:p>
    <w:p w:rsidR="00C7064F" w:rsidRDefault="00C7064F" w:rsidP="008B7CFD">
      <w:pPr>
        <w:spacing w:after="0"/>
        <w:ind w:right="567"/>
        <w:jc w:val="both"/>
        <w:rPr>
          <w:rFonts w:ascii="Times New Roman" w:hAnsi="Times New Roman" w:cs="Times New Roman"/>
          <w:sz w:val="26"/>
          <w:szCs w:val="26"/>
        </w:rPr>
      </w:pPr>
    </w:p>
    <w:p w:rsidR="009E298C" w:rsidRDefault="009E298C" w:rsidP="008B7CFD">
      <w:pPr>
        <w:spacing w:after="0"/>
        <w:ind w:right="567"/>
        <w:jc w:val="both"/>
        <w:rPr>
          <w:rFonts w:ascii="Times New Roman" w:hAnsi="Times New Roman" w:cs="Times New Roman"/>
          <w:sz w:val="26"/>
          <w:szCs w:val="26"/>
        </w:rPr>
      </w:pPr>
      <w:r>
        <w:rPr>
          <w:rFonts w:ascii="Times New Roman" w:hAnsi="Times New Roman" w:cs="Times New Roman"/>
          <w:sz w:val="26"/>
          <w:szCs w:val="26"/>
        </w:rPr>
        <w:t xml:space="preserve">O processo, quanto à execução para pagamento de quantia certa, sempre que não exista norma própria estabelecida no Capítulo “Do processo sumário”, seguirá as normas estabelecidas no Capítulo “Do processo ordinário”, por força do n.º 3 do art.º 551.º do CPC. </w:t>
      </w:r>
    </w:p>
    <w:p w:rsidR="009E298C" w:rsidRDefault="009E298C" w:rsidP="008B7CFD">
      <w:pPr>
        <w:spacing w:after="0"/>
        <w:ind w:right="567"/>
        <w:jc w:val="both"/>
        <w:rPr>
          <w:rFonts w:ascii="Times New Roman" w:hAnsi="Times New Roman" w:cs="Times New Roman"/>
          <w:sz w:val="26"/>
          <w:szCs w:val="26"/>
        </w:rPr>
      </w:pPr>
    </w:p>
    <w:p w:rsidR="009E298C" w:rsidRDefault="009E298C" w:rsidP="008B7CFD">
      <w:pPr>
        <w:spacing w:after="0"/>
        <w:ind w:right="567"/>
        <w:jc w:val="both"/>
        <w:rPr>
          <w:rFonts w:ascii="Times New Roman" w:hAnsi="Times New Roman" w:cs="Times New Roman"/>
          <w:sz w:val="26"/>
          <w:szCs w:val="26"/>
        </w:rPr>
      </w:pPr>
    </w:p>
    <w:p w:rsidR="007622EE" w:rsidRDefault="007622EE" w:rsidP="008B7CFD">
      <w:pPr>
        <w:spacing w:after="0"/>
        <w:ind w:right="567"/>
        <w:jc w:val="both"/>
        <w:rPr>
          <w:rFonts w:ascii="Times New Roman" w:hAnsi="Times New Roman" w:cs="Times New Roman"/>
          <w:sz w:val="26"/>
          <w:szCs w:val="26"/>
        </w:rPr>
      </w:pPr>
    </w:p>
    <w:p w:rsidR="009E298C" w:rsidRDefault="009E298C" w:rsidP="008B7CFD">
      <w:pPr>
        <w:pBdr>
          <w:bottom w:val="single" w:sz="12" w:space="1" w:color="auto"/>
        </w:pBdr>
        <w:spacing w:after="0"/>
        <w:ind w:right="567"/>
        <w:jc w:val="both"/>
        <w:rPr>
          <w:rFonts w:ascii="Times New Roman" w:hAnsi="Times New Roman" w:cs="Times New Roman"/>
          <w:sz w:val="26"/>
          <w:szCs w:val="26"/>
        </w:rPr>
      </w:pPr>
    </w:p>
    <w:p w:rsidR="009E298C" w:rsidRDefault="009E298C" w:rsidP="008B7CFD">
      <w:pPr>
        <w:spacing w:after="0"/>
        <w:ind w:right="567"/>
        <w:jc w:val="both"/>
        <w:rPr>
          <w:rFonts w:ascii="Times New Roman" w:hAnsi="Times New Roman" w:cs="Times New Roman"/>
          <w:sz w:val="26"/>
          <w:szCs w:val="26"/>
        </w:rPr>
      </w:pPr>
    </w:p>
    <w:p w:rsidR="00C7064F"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u w:val="single"/>
        </w:rPr>
      </w:pPr>
      <w:r w:rsidRPr="00297E0C">
        <w:rPr>
          <w:rFonts w:ascii="Times New Roman" w:hAnsi="Times New Roman" w:cs="Times New Roman"/>
          <w:b/>
          <w:color w:val="000000"/>
          <w:sz w:val="28"/>
          <w:szCs w:val="28"/>
          <w:u w:val="single"/>
        </w:rPr>
        <w:t>ACTOS CONEXOS:</w:t>
      </w:r>
    </w:p>
    <w:p w:rsidR="00297E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u w:val="single"/>
        </w:rPr>
      </w:pPr>
    </w:p>
    <w:p w:rsidR="00297E0C" w:rsidRPr="00297E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u w:val="single"/>
        </w:rPr>
      </w:pPr>
    </w:p>
    <w:p w:rsidR="00CB20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color w:val="000000"/>
          <w:sz w:val="28"/>
          <w:szCs w:val="28"/>
        </w:rPr>
        <w:t>1</w:t>
      </w:r>
      <w:r w:rsidR="00CB200C">
        <w:rPr>
          <w:rFonts w:ascii="Times New Roman" w:hAnsi="Times New Roman" w:cs="Times New Roman"/>
          <w:color w:val="000000"/>
          <w:sz w:val="28"/>
          <w:szCs w:val="28"/>
        </w:rPr>
        <w:t xml:space="preserve"> - Penhora dos bens nomeados </w:t>
      </w:r>
      <w:r w:rsidR="00CB200C" w:rsidRPr="000D297F">
        <w:rPr>
          <w:rFonts w:ascii="Times New Roman" w:hAnsi="Times New Roman" w:cs="Times New Roman"/>
          <w:i/>
          <w:color w:val="000000"/>
          <w:sz w:val="28"/>
          <w:szCs w:val="28"/>
        </w:rPr>
        <w:t>(depois do pagamento da provisão):</w:t>
      </w:r>
    </w:p>
    <w:p w:rsidR="00297E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297E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CB200C" w:rsidRDefault="00CB200C" w:rsidP="008B7CFD">
      <w:pPr>
        <w:pStyle w:val="PargrafodaLista"/>
        <w:numPr>
          <w:ilvl w:val="0"/>
          <w:numId w:val="1"/>
        </w:numPr>
        <w:tabs>
          <w:tab w:val="left" w:pos="0"/>
        </w:tabs>
        <w:autoSpaceDE w:val="0"/>
        <w:autoSpaceDN w:val="0"/>
        <w:adjustRightInd w:val="0"/>
        <w:spacing w:after="0"/>
        <w:ind w:right="567"/>
        <w:jc w:val="both"/>
        <w:rPr>
          <w:rFonts w:ascii="Times New Roman" w:hAnsi="Times New Roman" w:cs="Times New Roman"/>
          <w:i/>
          <w:color w:val="000000"/>
          <w:sz w:val="26"/>
          <w:szCs w:val="26"/>
        </w:rPr>
      </w:pPr>
      <w:r>
        <w:rPr>
          <w:rFonts w:ascii="Times New Roman" w:hAnsi="Times New Roman" w:cs="Times New Roman"/>
          <w:i/>
          <w:color w:val="000000"/>
          <w:sz w:val="26"/>
          <w:szCs w:val="26"/>
        </w:rPr>
        <w:t>–</w:t>
      </w:r>
      <w:r w:rsidRPr="000D297F">
        <w:rPr>
          <w:rFonts w:ascii="Times New Roman" w:hAnsi="Times New Roman" w:cs="Times New Roman"/>
          <w:i/>
          <w:color w:val="000000"/>
          <w:sz w:val="26"/>
          <w:szCs w:val="26"/>
        </w:rPr>
        <w:t xml:space="preserve"> </w:t>
      </w:r>
      <w:r>
        <w:rPr>
          <w:rFonts w:ascii="Times New Roman" w:hAnsi="Times New Roman" w:cs="Times New Roman"/>
          <w:i/>
          <w:color w:val="000000"/>
          <w:sz w:val="26"/>
          <w:szCs w:val="26"/>
        </w:rPr>
        <w:t>Imóvel:</w:t>
      </w:r>
    </w:p>
    <w:p w:rsidR="00CB200C" w:rsidRPr="00351C93" w:rsidRDefault="00CB200C" w:rsidP="008B7CFD">
      <w:pPr>
        <w:pStyle w:val="PargrafodaLista"/>
        <w:tabs>
          <w:tab w:val="left" w:pos="0"/>
        </w:tabs>
        <w:autoSpaceDE w:val="0"/>
        <w:autoSpaceDN w:val="0"/>
        <w:adjustRightInd w:val="0"/>
        <w:spacing w:after="0"/>
        <w:ind w:left="1065" w:right="567"/>
        <w:jc w:val="both"/>
        <w:rPr>
          <w:rFonts w:ascii="Times New Roman" w:hAnsi="Times New Roman" w:cs="Times New Roman"/>
          <w:i/>
          <w:color w:val="000000"/>
          <w:sz w:val="24"/>
          <w:szCs w:val="24"/>
        </w:rPr>
      </w:pPr>
      <w:r>
        <w:rPr>
          <w:rFonts w:ascii="Times New Roman" w:hAnsi="Times New Roman" w:cs="Times New Roman"/>
          <w:i/>
          <w:color w:val="000000"/>
          <w:sz w:val="26"/>
          <w:szCs w:val="26"/>
        </w:rPr>
        <w:t xml:space="preserve">     - </w:t>
      </w:r>
      <w:r w:rsidRPr="000D297F">
        <w:rPr>
          <w:rFonts w:ascii="Times New Roman" w:hAnsi="Times New Roman" w:cs="Times New Roman"/>
          <w:i/>
          <w:color w:val="000000"/>
          <w:sz w:val="26"/>
          <w:szCs w:val="26"/>
        </w:rPr>
        <w:t xml:space="preserve">Predial </w:t>
      </w:r>
      <w:proofErr w:type="gramStart"/>
      <w:r w:rsidRPr="000D297F">
        <w:rPr>
          <w:rFonts w:ascii="Times New Roman" w:hAnsi="Times New Roman" w:cs="Times New Roman"/>
          <w:i/>
          <w:color w:val="000000"/>
          <w:sz w:val="26"/>
          <w:szCs w:val="26"/>
        </w:rPr>
        <w:t>online</w:t>
      </w:r>
      <w:proofErr w:type="gramEnd"/>
      <w:r w:rsidRPr="000D297F">
        <w:rPr>
          <w:rFonts w:ascii="Times New Roman" w:hAnsi="Times New Roman" w:cs="Times New Roman"/>
          <w:i/>
          <w:color w:val="000000"/>
          <w:sz w:val="26"/>
          <w:szCs w:val="26"/>
        </w:rPr>
        <w:t xml:space="preserve"> </w:t>
      </w:r>
      <w:r w:rsidRPr="00351C93">
        <w:rPr>
          <w:rFonts w:ascii="Times New Roman" w:hAnsi="Times New Roman" w:cs="Times New Roman"/>
          <w:i/>
          <w:color w:val="000000"/>
          <w:sz w:val="24"/>
          <w:szCs w:val="24"/>
        </w:rPr>
        <w:t>(declarações complementares em</w:t>
      </w:r>
      <w:r>
        <w:rPr>
          <w:rFonts w:ascii="Times New Roman" w:hAnsi="Times New Roman" w:cs="Times New Roman"/>
          <w:i/>
          <w:color w:val="000000"/>
          <w:sz w:val="24"/>
          <w:szCs w:val="24"/>
        </w:rPr>
        <w:t xml:space="preserve"> </w:t>
      </w:r>
      <w:r w:rsidR="004567AD">
        <w:rPr>
          <w:rFonts w:ascii="Times New Roman" w:hAnsi="Times New Roman" w:cs="Times New Roman"/>
          <w:i/>
          <w:color w:val="000000"/>
          <w:sz w:val="24"/>
          <w:szCs w:val="24"/>
        </w:rPr>
        <w:t>1.1.1.2</w:t>
      </w:r>
      <w:r w:rsidRPr="00351C93">
        <w:rPr>
          <w:rFonts w:ascii="Times New Roman" w:hAnsi="Times New Roman" w:cs="Times New Roman"/>
          <w:i/>
          <w:color w:val="000000"/>
          <w:sz w:val="24"/>
          <w:szCs w:val="24"/>
        </w:rPr>
        <w:t>.2.</w:t>
      </w:r>
      <w:r w:rsidR="004567AD">
        <w:rPr>
          <w:rFonts w:ascii="Times New Roman" w:hAnsi="Times New Roman" w:cs="Times New Roman"/>
          <w:i/>
          <w:color w:val="000000"/>
          <w:sz w:val="24"/>
          <w:szCs w:val="24"/>
        </w:rPr>
        <w:t>1.</w:t>
      </w:r>
      <w:r w:rsidRPr="00351C93">
        <w:rPr>
          <w:rFonts w:ascii="Times New Roman" w:hAnsi="Times New Roman" w:cs="Times New Roman"/>
          <w:i/>
          <w:color w:val="000000"/>
          <w:sz w:val="24"/>
          <w:szCs w:val="24"/>
        </w:rPr>
        <w:t>1.</w:t>
      </w:r>
      <w:r>
        <w:rPr>
          <w:rFonts w:ascii="Times New Roman" w:hAnsi="Times New Roman" w:cs="Times New Roman"/>
          <w:i/>
          <w:color w:val="000000"/>
          <w:sz w:val="24"/>
          <w:szCs w:val="24"/>
        </w:rPr>
        <w:t>1)</w:t>
      </w:r>
      <w:r w:rsidRPr="00351C93">
        <w:rPr>
          <w:rFonts w:ascii="Times New Roman" w:hAnsi="Times New Roman" w:cs="Times New Roman"/>
          <w:i/>
          <w:color w:val="000000"/>
          <w:sz w:val="24"/>
          <w:szCs w:val="24"/>
        </w:rPr>
        <w:t xml:space="preserve"> </w:t>
      </w:r>
    </w:p>
    <w:p w:rsidR="00CB200C" w:rsidRDefault="00CB200C" w:rsidP="008B7CFD">
      <w:pPr>
        <w:tabs>
          <w:tab w:val="left" w:pos="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rPr>
        <w:lastRenderedPageBreak/>
        <w:t xml:space="preserve">          </w:t>
      </w:r>
    </w:p>
    <w:p w:rsidR="007622EE" w:rsidRPr="007622EE" w:rsidRDefault="007622EE" w:rsidP="007622EE">
      <w:pPr>
        <w:pStyle w:val="PargrafodaLista"/>
        <w:numPr>
          <w:ilvl w:val="0"/>
          <w:numId w:val="1"/>
        </w:num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6"/>
          <w:szCs w:val="26"/>
        </w:rPr>
      </w:pPr>
      <w:r w:rsidRPr="007622EE">
        <w:rPr>
          <w:rFonts w:ascii="Times New Roman" w:hAnsi="Times New Roman" w:cs="Times New Roman"/>
          <w:i/>
          <w:color w:val="000000"/>
          <w:sz w:val="26"/>
          <w:szCs w:val="26"/>
        </w:rPr>
        <w:t xml:space="preserve">– Móvel </w:t>
      </w:r>
      <w:proofErr w:type="gramStart"/>
      <w:r w:rsidRPr="007622EE">
        <w:rPr>
          <w:rFonts w:ascii="Times New Roman" w:hAnsi="Times New Roman" w:cs="Times New Roman"/>
          <w:i/>
          <w:color w:val="000000"/>
          <w:sz w:val="26"/>
          <w:szCs w:val="26"/>
        </w:rPr>
        <w:t>sujeito</w:t>
      </w:r>
      <w:proofErr w:type="gramEnd"/>
      <w:r w:rsidRPr="007622EE">
        <w:rPr>
          <w:rFonts w:ascii="Times New Roman" w:hAnsi="Times New Roman" w:cs="Times New Roman"/>
          <w:i/>
          <w:color w:val="000000"/>
          <w:sz w:val="26"/>
          <w:szCs w:val="26"/>
        </w:rPr>
        <w:t xml:space="preserve"> a registo:</w:t>
      </w:r>
    </w:p>
    <w:p w:rsidR="007622EE" w:rsidRDefault="007622EE" w:rsidP="007622EE">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                        - Automóvel - </w:t>
      </w:r>
      <w:r w:rsidR="00440D52">
        <w:rPr>
          <w:rFonts w:ascii="Times New Roman" w:hAnsi="Times New Roman" w:cs="Times New Roman"/>
          <w:i/>
          <w:color w:val="000000"/>
          <w:sz w:val="26"/>
          <w:szCs w:val="26"/>
        </w:rPr>
        <w:t>GPESE</w:t>
      </w:r>
    </w:p>
    <w:p w:rsidR="007622EE" w:rsidRDefault="007622EE" w:rsidP="007622EE">
      <w:pPr>
        <w:tabs>
          <w:tab w:val="left" w:pos="4820"/>
          <w:tab w:val="left" w:pos="5103"/>
          <w:tab w:val="left" w:pos="5670"/>
        </w:tabs>
        <w:autoSpaceDE w:val="0"/>
        <w:autoSpaceDN w:val="0"/>
        <w:adjustRightInd w:val="0"/>
        <w:spacing w:after="0"/>
        <w:ind w:right="567"/>
        <w:jc w:val="both"/>
        <w:rPr>
          <w:i/>
        </w:rPr>
      </w:pPr>
      <w:r>
        <w:rPr>
          <w:rFonts w:ascii="Times New Roman" w:hAnsi="Times New Roman" w:cs="Times New Roman"/>
          <w:i/>
          <w:color w:val="000000"/>
          <w:sz w:val="26"/>
          <w:szCs w:val="26"/>
        </w:rPr>
        <w:t xml:space="preserve">                        - Navio - </w:t>
      </w:r>
      <w:r>
        <w:rPr>
          <w:rFonts w:ascii="Times New Roman" w:hAnsi="Times New Roman" w:cs="Times New Roman"/>
          <w:i/>
          <w:color w:val="000000"/>
          <w:sz w:val="26"/>
          <w:szCs w:val="26"/>
          <w:shd w:val="clear" w:color="auto" w:fill="FFFFFF"/>
        </w:rPr>
        <w:t>Balcão Eletrónico do Mar (</w:t>
      </w:r>
      <w:proofErr w:type="spellStart"/>
      <w:r>
        <w:rPr>
          <w:rFonts w:ascii="Times New Roman" w:hAnsi="Times New Roman" w:cs="Times New Roman"/>
          <w:i/>
          <w:color w:val="000000"/>
          <w:sz w:val="26"/>
          <w:szCs w:val="26"/>
          <w:shd w:val="clear" w:color="auto" w:fill="FFFFFF"/>
        </w:rPr>
        <w:t>BMar</w:t>
      </w:r>
      <w:proofErr w:type="spellEnd"/>
      <w:r>
        <w:rPr>
          <w:rFonts w:ascii="Times New Roman" w:hAnsi="Times New Roman" w:cs="Times New Roman"/>
          <w:i/>
          <w:color w:val="000000"/>
          <w:sz w:val="26"/>
          <w:szCs w:val="26"/>
          <w:shd w:val="clear" w:color="auto" w:fill="FFFFFF"/>
        </w:rPr>
        <w:t>),</w:t>
      </w:r>
      <w:r>
        <w:rPr>
          <w:i/>
        </w:rPr>
        <w:t xml:space="preserve">                      </w:t>
      </w:r>
    </w:p>
    <w:p w:rsidR="007622EE" w:rsidRDefault="007622EE" w:rsidP="007622EE">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                        - Aeronave:</w:t>
      </w:r>
    </w:p>
    <w:p w:rsidR="007622EE" w:rsidRDefault="007622EE" w:rsidP="007622EE">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6"/>
          <w:szCs w:val="26"/>
        </w:rPr>
      </w:pPr>
      <w:r>
        <w:rPr>
          <w:rFonts w:ascii="Times New Roman" w:hAnsi="Times New Roman" w:cs="Times New Roman"/>
          <w:i/>
          <w:color w:val="000000"/>
          <w:sz w:val="26"/>
          <w:szCs w:val="26"/>
        </w:rPr>
        <w:t xml:space="preserve">                               - Conservatória do Registo Comercial </w:t>
      </w:r>
    </w:p>
    <w:p w:rsidR="007622EE" w:rsidRDefault="007622EE" w:rsidP="007622EE">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6"/>
          <w:szCs w:val="26"/>
        </w:rPr>
      </w:pPr>
      <w:r>
        <w:rPr>
          <w:rFonts w:ascii="Times New Roman" w:hAnsi="Times New Roman" w:cs="Times New Roman"/>
          <w:i/>
          <w:color w:val="000000"/>
          <w:sz w:val="26"/>
          <w:szCs w:val="26"/>
        </w:rPr>
        <w:t xml:space="preserve">                               - </w:t>
      </w:r>
      <w:r>
        <w:rPr>
          <w:rFonts w:ascii="Times New Roman" w:hAnsi="Times New Roman" w:cs="Times New Roman"/>
          <w:i/>
          <w:sz w:val="26"/>
          <w:szCs w:val="26"/>
        </w:rPr>
        <w:t>Registo Aeronáutico Nacional</w:t>
      </w:r>
    </w:p>
    <w:p w:rsidR="007622EE" w:rsidRDefault="007622EE" w:rsidP="007622EE"/>
    <w:p w:rsidR="00CB200C" w:rsidRDefault="00CB20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6"/>
          <w:szCs w:val="26"/>
        </w:rPr>
      </w:pPr>
    </w:p>
    <w:p w:rsidR="00CB200C" w:rsidRDefault="00CB200C" w:rsidP="008B7CFD">
      <w:pPr>
        <w:pStyle w:val="PargrafodaLista"/>
        <w:numPr>
          <w:ilvl w:val="0"/>
          <w:numId w:val="1"/>
        </w:numPr>
        <w:tabs>
          <w:tab w:val="left" w:pos="4820"/>
          <w:tab w:val="left" w:pos="5103"/>
          <w:tab w:val="left" w:pos="5670"/>
        </w:tabs>
        <w:autoSpaceDE w:val="0"/>
        <w:autoSpaceDN w:val="0"/>
        <w:adjustRightInd w:val="0"/>
        <w:spacing w:after="0"/>
        <w:ind w:right="567"/>
        <w:jc w:val="both"/>
        <w:rPr>
          <w:rFonts w:ascii="Times New Roman" w:hAnsi="Times New Roman" w:cs="Times New Roman"/>
          <w:i/>
          <w:sz w:val="26"/>
          <w:szCs w:val="26"/>
        </w:rPr>
      </w:pPr>
      <w:r>
        <w:rPr>
          <w:rFonts w:ascii="Times New Roman" w:hAnsi="Times New Roman" w:cs="Times New Roman"/>
          <w:i/>
          <w:sz w:val="26"/>
          <w:szCs w:val="26"/>
        </w:rPr>
        <w:t>– Salários/pensões/créditos/outras:</w:t>
      </w:r>
    </w:p>
    <w:p w:rsidR="00CB200C" w:rsidRDefault="00CB200C" w:rsidP="008B7CFD">
      <w:pPr>
        <w:pStyle w:val="PargrafodaLista"/>
        <w:tabs>
          <w:tab w:val="left" w:pos="4820"/>
          <w:tab w:val="left" w:pos="5103"/>
          <w:tab w:val="left" w:pos="5670"/>
        </w:tabs>
        <w:autoSpaceDE w:val="0"/>
        <w:autoSpaceDN w:val="0"/>
        <w:adjustRightInd w:val="0"/>
        <w:spacing w:after="0"/>
        <w:ind w:left="1065" w:right="567"/>
        <w:jc w:val="both"/>
        <w:rPr>
          <w:rFonts w:ascii="Times New Roman" w:hAnsi="Times New Roman" w:cs="Times New Roman"/>
          <w:i/>
          <w:sz w:val="26"/>
          <w:szCs w:val="26"/>
        </w:rPr>
      </w:pPr>
      <w:r>
        <w:rPr>
          <w:rFonts w:ascii="Times New Roman" w:hAnsi="Times New Roman" w:cs="Times New Roman"/>
          <w:i/>
          <w:sz w:val="26"/>
          <w:szCs w:val="26"/>
        </w:rPr>
        <w:t xml:space="preserve">    - GPESE</w:t>
      </w:r>
    </w:p>
    <w:p w:rsidR="00CB200C" w:rsidRDefault="00CB200C" w:rsidP="008B7CFD">
      <w:pPr>
        <w:pStyle w:val="PargrafodaLista"/>
        <w:tabs>
          <w:tab w:val="left" w:pos="4820"/>
          <w:tab w:val="left" w:pos="5103"/>
          <w:tab w:val="left" w:pos="5670"/>
        </w:tabs>
        <w:autoSpaceDE w:val="0"/>
        <w:autoSpaceDN w:val="0"/>
        <w:adjustRightInd w:val="0"/>
        <w:spacing w:after="0"/>
        <w:ind w:left="1065" w:right="567"/>
        <w:jc w:val="both"/>
        <w:rPr>
          <w:rFonts w:ascii="Times New Roman" w:hAnsi="Times New Roman" w:cs="Times New Roman"/>
          <w:i/>
          <w:sz w:val="26"/>
          <w:szCs w:val="26"/>
        </w:rPr>
      </w:pPr>
    </w:p>
    <w:p w:rsidR="00CB200C" w:rsidRDefault="00CB200C" w:rsidP="008B7CFD">
      <w:pPr>
        <w:pStyle w:val="PargrafodaLista"/>
        <w:tabs>
          <w:tab w:val="left" w:pos="4820"/>
          <w:tab w:val="left" w:pos="5103"/>
          <w:tab w:val="left" w:pos="5670"/>
        </w:tabs>
        <w:autoSpaceDE w:val="0"/>
        <w:autoSpaceDN w:val="0"/>
        <w:adjustRightInd w:val="0"/>
        <w:spacing w:after="0"/>
        <w:ind w:left="1065" w:right="567"/>
        <w:jc w:val="both"/>
        <w:rPr>
          <w:rFonts w:ascii="Times New Roman" w:hAnsi="Times New Roman" w:cs="Times New Roman"/>
          <w:i/>
          <w:sz w:val="26"/>
          <w:szCs w:val="26"/>
        </w:rPr>
      </w:pPr>
    </w:p>
    <w:p w:rsidR="00C7064F" w:rsidRDefault="00C7064F" w:rsidP="008B7CFD">
      <w:pPr>
        <w:pStyle w:val="PargrafodaLista"/>
        <w:tabs>
          <w:tab w:val="left" w:pos="4820"/>
          <w:tab w:val="left" w:pos="5103"/>
          <w:tab w:val="left" w:pos="5670"/>
        </w:tabs>
        <w:autoSpaceDE w:val="0"/>
        <w:autoSpaceDN w:val="0"/>
        <w:adjustRightInd w:val="0"/>
        <w:spacing w:after="0"/>
        <w:ind w:left="1065" w:right="567"/>
        <w:jc w:val="both"/>
        <w:rPr>
          <w:rFonts w:ascii="Times New Roman" w:hAnsi="Times New Roman" w:cs="Times New Roman"/>
          <w:i/>
          <w:sz w:val="26"/>
          <w:szCs w:val="26"/>
        </w:rPr>
      </w:pPr>
    </w:p>
    <w:p w:rsidR="00CB200C" w:rsidRDefault="00CB20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6"/>
          <w:szCs w:val="26"/>
        </w:rPr>
      </w:pPr>
    </w:p>
    <w:p w:rsidR="00CB200C" w:rsidRPr="00CB200C" w:rsidRDefault="00CB20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sz w:val="26"/>
          <w:szCs w:val="26"/>
        </w:rPr>
      </w:pPr>
      <w:r w:rsidRPr="00CB200C">
        <w:rPr>
          <w:rFonts w:ascii="Times New Roman" w:hAnsi="Times New Roman" w:cs="Times New Roman"/>
          <w:sz w:val="26"/>
          <w:szCs w:val="26"/>
        </w:rPr>
        <w:t>3 – Auto de penhora:</w:t>
      </w:r>
    </w:p>
    <w:p w:rsidR="00CB200C" w:rsidRPr="00CB200C" w:rsidRDefault="00CB20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6"/>
          <w:szCs w:val="26"/>
        </w:rPr>
      </w:pPr>
      <w:r>
        <w:rPr>
          <w:rFonts w:ascii="Times New Roman" w:hAnsi="Times New Roman" w:cs="Times New Roman"/>
          <w:i/>
          <w:sz w:val="26"/>
          <w:szCs w:val="26"/>
        </w:rPr>
        <w:t xml:space="preserve">        - GPESE</w:t>
      </w:r>
    </w:p>
    <w:p w:rsidR="00CB200C" w:rsidRDefault="00CB200C" w:rsidP="008B7CFD">
      <w:pPr>
        <w:pStyle w:val="PargrafodaLista"/>
        <w:tabs>
          <w:tab w:val="left" w:pos="4820"/>
          <w:tab w:val="left" w:pos="5103"/>
          <w:tab w:val="left" w:pos="5670"/>
        </w:tabs>
        <w:autoSpaceDE w:val="0"/>
        <w:autoSpaceDN w:val="0"/>
        <w:adjustRightInd w:val="0"/>
        <w:spacing w:after="0"/>
        <w:ind w:left="1065" w:right="567"/>
        <w:jc w:val="both"/>
      </w:pPr>
    </w:p>
    <w:p w:rsidR="00CB200C" w:rsidRDefault="00CB200C" w:rsidP="008B7CFD">
      <w:pPr>
        <w:pStyle w:val="PargrafodaLista"/>
        <w:tabs>
          <w:tab w:val="left" w:pos="4820"/>
          <w:tab w:val="left" w:pos="5103"/>
          <w:tab w:val="left" w:pos="5670"/>
        </w:tabs>
        <w:autoSpaceDE w:val="0"/>
        <w:autoSpaceDN w:val="0"/>
        <w:adjustRightInd w:val="0"/>
        <w:spacing w:after="0"/>
        <w:ind w:left="1065" w:right="567"/>
        <w:jc w:val="both"/>
      </w:pPr>
    </w:p>
    <w:p w:rsidR="00CB200C" w:rsidRDefault="00CB200C" w:rsidP="008B7CFD">
      <w:pPr>
        <w:pStyle w:val="PargrafodaLista"/>
        <w:tabs>
          <w:tab w:val="left" w:pos="4820"/>
          <w:tab w:val="left" w:pos="5103"/>
          <w:tab w:val="left" w:pos="5670"/>
        </w:tabs>
        <w:autoSpaceDE w:val="0"/>
        <w:autoSpaceDN w:val="0"/>
        <w:adjustRightInd w:val="0"/>
        <w:spacing w:after="0"/>
        <w:ind w:left="1065" w:right="567"/>
        <w:jc w:val="both"/>
      </w:pP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highlight w:val="yellow"/>
        </w:rPr>
      </w:pP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color w:val="000000"/>
          <w:sz w:val="28"/>
          <w:szCs w:val="28"/>
        </w:rPr>
      </w:pPr>
      <w:r>
        <w:rPr>
          <w:rFonts w:ascii="Times New Roman" w:hAnsi="Times New Roman" w:cs="Times New Roman"/>
          <w:color w:val="000000"/>
          <w:sz w:val="28"/>
          <w:szCs w:val="28"/>
        </w:rPr>
        <w:t>B – Citação (</w:t>
      </w:r>
      <w:proofErr w:type="gramStart"/>
      <w:r>
        <w:rPr>
          <w:rFonts w:ascii="Times New Roman" w:hAnsi="Times New Roman" w:cs="Times New Roman"/>
          <w:color w:val="000000"/>
          <w:sz w:val="28"/>
          <w:szCs w:val="28"/>
        </w:rPr>
        <w:t>PF)</w:t>
      </w:r>
      <w:proofErr w:type="gramEnd"/>
      <w:r>
        <w:rPr>
          <w:rFonts w:ascii="Times New Roman" w:hAnsi="Times New Roman" w:cs="Times New Roman"/>
          <w:color w:val="000000"/>
          <w:sz w:val="28"/>
          <w:szCs w:val="28"/>
        </w:rPr>
        <w:t>/Notificação(PQC):</w:t>
      </w: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 GPESE:</w:t>
      </w: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 </w:t>
      </w:r>
      <w:proofErr w:type="gramStart"/>
      <w:r w:rsidRPr="00F94CCB">
        <w:rPr>
          <w:rFonts w:ascii="Times New Roman" w:hAnsi="Times New Roman" w:cs="Times New Roman"/>
          <w:b/>
          <w:i/>
          <w:color w:val="000000"/>
          <w:sz w:val="28"/>
          <w:szCs w:val="28"/>
          <w:u w:val="single"/>
        </w:rPr>
        <w:t>citação</w:t>
      </w:r>
      <w:proofErr w:type="gramEnd"/>
      <w:r w:rsidRPr="00F94CCB">
        <w:rPr>
          <w:rFonts w:ascii="Times New Roman" w:hAnsi="Times New Roman" w:cs="Times New Roman"/>
          <w:b/>
          <w:i/>
          <w:color w:val="000000"/>
          <w:sz w:val="28"/>
          <w:szCs w:val="28"/>
          <w:u w:val="single"/>
        </w:rPr>
        <w:t xml:space="preserve"> para prestação de facto </w:t>
      </w: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r>
        <w:rPr>
          <w:rFonts w:ascii="Times New Roman" w:hAnsi="Times New Roman" w:cs="Times New Roman"/>
          <w:i/>
          <w:color w:val="000000"/>
          <w:sz w:val="28"/>
          <w:szCs w:val="28"/>
        </w:rPr>
        <w:t xml:space="preserve">                </w:t>
      </w:r>
      <w:proofErr w:type="gramStart"/>
      <w:r w:rsidRPr="00F94CCB">
        <w:rPr>
          <w:rFonts w:ascii="Times New Roman" w:hAnsi="Times New Roman" w:cs="Times New Roman"/>
          <w:b/>
          <w:i/>
          <w:color w:val="000000"/>
          <w:sz w:val="28"/>
          <w:szCs w:val="28"/>
          <w:u w:val="single"/>
        </w:rPr>
        <w:t>adicionando</w:t>
      </w:r>
      <w:proofErr w:type="gramEnd"/>
      <w:r w:rsidRPr="00F94CCB">
        <w:rPr>
          <w:rFonts w:ascii="Times New Roman" w:hAnsi="Times New Roman" w:cs="Times New Roman"/>
          <w:b/>
          <w:i/>
          <w:color w:val="000000"/>
          <w:sz w:val="28"/>
          <w:szCs w:val="28"/>
          <w:u w:val="single"/>
        </w:rPr>
        <w:t xml:space="preserve"> o texto da notificação após penhora</w:t>
      </w: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p>
    <w:p w:rsidR="00F94CCB" w:rsidRPr="00F94CCB" w:rsidRDefault="00F94CCB"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u w:val="single"/>
        </w:rPr>
      </w:pPr>
      <w:bookmarkStart w:id="0" w:name="_GoBack"/>
      <w:bookmarkEnd w:id="0"/>
    </w:p>
    <w:p w:rsidR="00297E0C" w:rsidRDefault="00297E0C" w:rsidP="008B7CFD">
      <w:pPr>
        <w:pBdr>
          <w:bottom w:val="single" w:sz="12" w:space="1" w:color="auto"/>
        </w:pBd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p w:rsidR="00A104E5" w:rsidRDefault="00A104E5"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ESTATÍSTICA (Informação aos autos):</w:t>
      </w:r>
    </w:p>
    <w:p w:rsidR="00297E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p>
    <w:p w:rsidR="00297E0C" w:rsidRDefault="00297E0C" w:rsidP="00297E0C">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rPr>
        <w:t>A do Impulso Processual (2.3.1.2.1) do pedido de provisão</w:t>
      </w:r>
    </w:p>
    <w:p w:rsidR="00297E0C" w:rsidRDefault="00297E0C" w:rsidP="00297E0C">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rPr>
      </w:pPr>
    </w:p>
    <w:p w:rsidR="00297E0C" w:rsidRDefault="00297E0C" w:rsidP="00297E0C">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rPr>
      </w:pPr>
      <w:r>
        <w:rPr>
          <w:rFonts w:ascii="Times New Roman" w:hAnsi="Times New Roman" w:cs="Times New Roman"/>
          <w:b/>
          <w:i/>
          <w:color w:val="000000"/>
          <w:sz w:val="28"/>
          <w:szCs w:val="28"/>
          <w:highlight w:val="yellow"/>
        </w:rPr>
        <w:t>OU</w:t>
      </w:r>
      <w:r>
        <w:rPr>
          <w:rFonts w:ascii="Times New Roman" w:hAnsi="Times New Roman" w:cs="Times New Roman"/>
          <w:b/>
          <w:i/>
          <w:color w:val="000000"/>
          <w:sz w:val="28"/>
          <w:szCs w:val="28"/>
        </w:rPr>
        <w:t>:</w:t>
      </w:r>
    </w:p>
    <w:p w:rsidR="00297E0C" w:rsidRDefault="00297E0C" w:rsidP="00297E0C">
      <w:pPr>
        <w:tabs>
          <w:tab w:val="left" w:pos="4820"/>
          <w:tab w:val="left" w:pos="5103"/>
          <w:tab w:val="left" w:pos="5670"/>
        </w:tabs>
        <w:autoSpaceDE w:val="0"/>
        <w:autoSpaceDN w:val="0"/>
        <w:adjustRightInd w:val="0"/>
        <w:spacing w:after="0"/>
        <w:ind w:right="567"/>
        <w:jc w:val="both"/>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 </w:t>
      </w:r>
    </w:p>
    <w:p w:rsidR="00297E0C" w:rsidRDefault="00297E0C" w:rsidP="00297E0C">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r>
        <w:rPr>
          <w:rFonts w:ascii="Times New Roman" w:hAnsi="Times New Roman" w:cs="Times New Roman"/>
          <w:i/>
          <w:color w:val="000000"/>
          <w:sz w:val="28"/>
          <w:szCs w:val="28"/>
          <w:highlight w:val="cyan"/>
        </w:rPr>
        <w:t>- Se não for pedida provisão ou depois dela paga</w:t>
      </w:r>
      <w:r>
        <w:rPr>
          <w:rFonts w:ascii="Times New Roman" w:hAnsi="Times New Roman" w:cs="Times New Roman"/>
          <w:i/>
          <w:color w:val="000000"/>
          <w:sz w:val="28"/>
          <w:szCs w:val="28"/>
        </w:rPr>
        <w:t xml:space="preserve">  </w:t>
      </w: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b/>
          <w:color w:val="000000"/>
          <w:sz w:val="28"/>
          <w:szCs w:val="28"/>
        </w:rPr>
      </w:pP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r>
        <w:rPr>
          <w:rFonts w:ascii="Times New Roman" w:hAnsi="Times New Roman" w:cs="Times New Roman"/>
          <w:i/>
          <w:color w:val="000000"/>
          <w:sz w:val="28"/>
          <w:szCs w:val="28"/>
        </w:rPr>
        <w:t xml:space="preserve">Estados do </w:t>
      </w:r>
      <w:proofErr w:type="gramStart"/>
      <w:r>
        <w:rPr>
          <w:rFonts w:ascii="Times New Roman" w:hAnsi="Times New Roman" w:cs="Times New Roman"/>
          <w:i/>
          <w:color w:val="000000"/>
          <w:sz w:val="28"/>
          <w:szCs w:val="28"/>
        </w:rPr>
        <w:t>processo &gt;</w:t>
      </w:r>
      <w:proofErr w:type="gramEnd"/>
      <w:r>
        <w:rPr>
          <w:rFonts w:ascii="Times New Roman" w:hAnsi="Times New Roman" w:cs="Times New Roman"/>
          <w:i/>
          <w:color w:val="000000"/>
          <w:sz w:val="28"/>
          <w:szCs w:val="28"/>
        </w:rPr>
        <w:t xml:space="preserve"> Fase I</w:t>
      </w:r>
      <w:r w:rsidR="00A104E5">
        <w:rPr>
          <w:rFonts w:ascii="Times New Roman" w:hAnsi="Times New Roman" w:cs="Times New Roman"/>
          <w:i/>
          <w:color w:val="000000"/>
          <w:sz w:val="28"/>
          <w:szCs w:val="28"/>
        </w:rPr>
        <w:t>I</w:t>
      </w:r>
      <w:r>
        <w:rPr>
          <w:rFonts w:ascii="Times New Roman" w:hAnsi="Times New Roman" w:cs="Times New Roman"/>
          <w:i/>
          <w:color w:val="000000"/>
          <w:sz w:val="28"/>
          <w:szCs w:val="28"/>
        </w:rPr>
        <w:t xml:space="preserve"> &gt; </w:t>
      </w:r>
      <w:r w:rsidR="00A104E5">
        <w:rPr>
          <w:rFonts w:ascii="Times New Roman" w:hAnsi="Times New Roman" w:cs="Times New Roman"/>
          <w:i/>
          <w:color w:val="000000"/>
          <w:sz w:val="28"/>
          <w:szCs w:val="28"/>
        </w:rPr>
        <w:t xml:space="preserve">Diligências em Curso </w:t>
      </w:r>
      <w:r>
        <w:rPr>
          <w:rFonts w:ascii="Times New Roman" w:hAnsi="Times New Roman" w:cs="Times New Roman"/>
          <w:i/>
          <w:color w:val="000000"/>
          <w:sz w:val="28"/>
          <w:szCs w:val="28"/>
        </w:rPr>
        <w:t>&gt; criar modelo:</w:t>
      </w:r>
      <w:r>
        <w:rPr>
          <w:rFonts w:ascii="Times New Roman" w:hAnsi="Times New Roman" w:cs="Times New Roman"/>
          <w:i/>
          <w:sz w:val="28"/>
          <w:szCs w:val="28"/>
        </w:rPr>
        <w:t xml:space="preserve"> </w:t>
      </w:r>
    </w:p>
    <w:p w:rsidR="00CC6A53" w:rsidRDefault="00CC6A53"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p>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r>
        <w:rPr>
          <w:rFonts w:ascii="Times New Roman" w:hAnsi="Times New Roman" w:cs="Times New Roman"/>
          <w:i/>
          <w:sz w:val="28"/>
          <w:szCs w:val="28"/>
        </w:rPr>
        <w:t xml:space="preserve">INFORMAÇÃO AOS AUTOS </w:t>
      </w:r>
      <w:r w:rsidR="00A104E5">
        <w:rPr>
          <w:rFonts w:ascii="Times New Roman" w:hAnsi="Times New Roman" w:cs="Times New Roman"/>
          <w:i/>
          <w:sz w:val="28"/>
          <w:szCs w:val="28"/>
        </w:rPr>
        <w:t>– p</w:t>
      </w:r>
      <w:r>
        <w:rPr>
          <w:rFonts w:ascii="Times New Roman" w:hAnsi="Times New Roman" w:cs="Times New Roman"/>
          <w:i/>
          <w:sz w:val="28"/>
          <w:szCs w:val="28"/>
        </w:rPr>
        <w:t>enhora</w:t>
      </w:r>
      <w:r w:rsidR="00A104E5">
        <w:rPr>
          <w:rFonts w:ascii="Times New Roman" w:hAnsi="Times New Roman" w:cs="Times New Roman"/>
          <w:i/>
          <w:sz w:val="28"/>
          <w:szCs w:val="28"/>
        </w:rPr>
        <w:t xml:space="preserve"> de… </w:t>
      </w:r>
      <w:r>
        <w:rPr>
          <w:rFonts w:ascii="Times New Roman" w:hAnsi="Times New Roman" w:cs="Times New Roman"/>
          <w:i/>
          <w:sz w:val="28"/>
          <w:szCs w:val="28"/>
        </w:rPr>
        <w:t>depende do AE</w:t>
      </w:r>
    </w:p>
    <w:p w:rsidR="00297E0C" w:rsidRDefault="00297E0C"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sz w:val="28"/>
          <w:szCs w:val="28"/>
        </w:rPr>
      </w:pPr>
    </w:p>
    <w:tbl>
      <w:tblPr>
        <w:tblStyle w:val="Tabelacomgrelha"/>
        <w:tblW w:w="0" w:type="auto"/>
        <w:tblLook w:val="04A0" w:firstRow="1" w:lastRow="0" w:firstColumn="1" w:lastColumn="0" w:noHBand="0" w:noVBand="1"/>
      </w:tblPr>
      <w:tblGrid>
        <w:gridCol w:w="8644"/>
      </w:tblGrid>
      <w:tr w:rsidR="005B35C8" w:rsidTr="005B35C8">
        <w:tc>
          <w:tcPr>
            <w:tcW w:w="8644" w:type="dxa"/>
            <w:tcBorders>
              <w:top w:val="single" w:sz="4" w:space="0" w:color="auto"/>
              <w:left w:val="single" w:sz="4" w:space="0" w:color="auto"/>
              <w:bottom w:val="single" w:sz="4" w:space="0" w:color="auto"/>
              <w:right w:val="single" w:sz="4" w:space="0" w:color="auto"/>
            </w:tcBorders>
          </w:tcPr>
          <w:p w:rsidR="005B35C8" w:rsidRDefault="005B35C8" w:rsidP="008B7CFD">
            <w:pPr>
              <w:spacing w:after="0" w:line="240" w:lineRule="auto"/>
              <w:rPr>
                <w:rFonts w:ascii="Times New Roman" w:hAnsi="Times New Roman" w:cs="Times New Roman"/>
                <w:b/>
                <w:sz w:val="28"/>
                <w:szCs w:val="28"/>
                <w:u w:val="single"/>
              </w:rPr>
            </w:pPr>
            <w:r>
              <w:rPr>
                <w:rFonts w:ascii="Times New Roman" w:hAnsi="Times New Roman" w:cs="Times New Roman"/>
                <w:b/>
                <w:sz w:val="28"/>
                <w:szCs w:val="28"/>
                <w:u w:val="single"/>
              </w:rPr>
              <w:t xml:space="preserve">INFORMAÇÃO AOS AUTOS </w:t>
            </w:r>
          </w:p>
          <w:p w:rsidR="005B35C8" w:rsidRDefault="005B35C8" w:rsidP="008B7CFD">
            <w:pPr>
              <w:spacing w:after="0" w:line="240" w:lineRule="auto"/>
              <w:jc w:val="center"/>
              <w:rPr>
                <w:rFonts w:ascii="Times New Roman" w:hAnsi="Times New Roman" w:cs="Times New Roman"/>
                <w:b/>
                <w:sz w:val="28"/>
                <w:szCs w:val="28"/>
                <w:u w:val="single"/>
              </w:rPr>
            </w:pPr>
          </w:p>
          <w:p w:rsidR="005B35C8" w:rsidRDefault="005B35C8" w:rsidP="008B7CFD">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Depende do AE</w:t>
            </w:r>
          </w:p>
          <w:p w:rsidR="005B35C8" w:rsidRDefault="005B35C8" w:rsidP="008B7CFD">
            <w:pPr>
              <w:spacing w:after="0" w:line="240" w:lineRule="auto"/>
              <w:jc w:val="both"/>
              <w:rPr>
                <w:rFonts w:ascii="Times New Roman" w:hAnsi="Times New Roman" w:cs="Times New Roman"/>
                <w:i/>
                <w:sz w:val="28"/>
                <w:szCs w:val="28"/>
              </w:rPr>
            </w:pPr>
          </w:p>
          <w:p w:rsidR="005B35C8" w:rsidRDefault="005B35C8" w:rsidP="008B7CFD">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Assunto: penhora de depósitos bancários e pesquisa de bens penhoráveis</w:t>
            </w:r>
          </w:p>
          <w:p w:rsidR="005B35C8" w:rsidRDefault="005B35C8" w:rsidP="008B7CFD">
            <w:pPr>
              <w:spacing w:after="0" w:line="240" w:lineRule="auto"/>
              <w:jc w:val="both"/>
              <w:rPr>
                <w:rFonts w:ascii="Times New Roman" w:hAnsi="Times New Roman" w:cs="Times New Roman"/>
                <w:i/>
                <w:sz w:val="28"/>
                <w:szCs w:val="28"/>
              </w:rPr>
            </w:pPr>
          </w:p>
          <w:p w:rsidR="005B35C8" w:rsidRDefault="005B35C8" w:rsidP="008B7CFD">
            <w:pPr>
              <w:pStyle w:val="Default"/>
              <w:jc w:val="both"/>
              <w:rPr>
                <w:rFonts w:ascii="Times New Roman" w:hAnsi="Times New Roman" w:cs="Times New Roman"/>
                <w:sz w:val="28"/>
                <w:szCs w:val="28"/>
              </w:rPr>
            </w:pPr>
            <w:r>
              <w:rPr>
                <w:rFonts w:ascii="Times New Roman" w:hAnsi="Times New Roman" w:cs="Times New Roman"/>
                <w:sz w:val="28"/>
                <w:szCs w:val="28"/>
              </w:rPr>
              <w:t>O art.º 754.º do CPC vem estabelecer o dever de informação do agente de execução. O art.º 42.º da Portaria n.º 282/2013, de 29 de agosto, vem regulamentar tal dever de informação e estabelece que tais informações são prestadas simplesmente por consulta ao processo assegurado pelos sistemas informáticos GPESE/SISAAE e CITIUS.</w:t>
            </w:r>
          </w:p>
          <w:p w:rsidR="005B35C8" w:rsidRDefault="005B35C8" w:rsidP="008B7CFD">
            <w:pPr>
              <w:pStyle w:val="Default"/>
              <w:jc w:val="both"/>
              <w:rPr>
                <w:rFonts w:ascii="Times New Roman" w:hAnsi="Times New Roman" w:cs="Times New Roman"/>
                <w:sz w:val="28"/>
                <w:szCs w:val="28"/>
              </w:rPr>
            </w:pPr>
          </w:p>
          <w:p w:rsidR="005B35C8" w:rsidRDefault="005B35C8" w:rsidP="008B7CFD">
            <w:pPr>
              <w:pStyle w:val="Default"/>
              <w:jc w:val="both"/>
              <w:rPr>
                <w:rFonts w:ascii="Times New Roman" w:hAnsi="Times New Roman" w:cs="Times New Roman"/>
                <w:sz w:val="28"/>
                <w:szCs w:val="28"/>
              </w:rPr>
            </w:pPr>
            <w:r>
              <w:rPr>
                <w:rFonts w:ascii="Times New Roman" w:hAnsi="Times New Roman" w:cs="Times New Roman"/>
                <w:sz w:val="28"/>
                <w:szCs w:val="28"/>
              </w:rPr>
              <w:t xml:space="preserve">Interpretando amplamente o seu dever de informação, é entendimento do agente de execução signatário que devem os autos estar devidamente informados para possibilitar tais consultas, à distância de um clique, como garante da transparência na condução de cada processo como é vontade do legislador expressa no preâmbulo daquela Portaria. </w:t>
            </w:r>
          </w:p>
          <w:p w:rsidR="005B35C8" w:rsidRDefault="005B35C8" w:rsidP="008B7CFD">
            <w:pPr>
              <w:pStyle w:val="Default"/>
              <w:jc w:val="both"/>
              <w:rPr>
                <w:rFonts w:ascii="Times New Roman" w:hAnsi="Times New Roman" w:cs="Times New Roman"/>
                <w:sz w:val="28"/>
                <w:szCs w:val="28"/>
              </w:rPr>
            </w:pPr>
          </w:p>
          <w:p w:rsidR="005B35C8" w:rsidRDefault="005B35C8" w:rsidP="008B7CFD">
            <w:pPr>
              <w:spacing w:after="0" w:line="240" w:lineRule="auto"/>
              <w:jc w:val="both"/>
              <w:rPr>
                <w:rFonts w:ascii="Times New Roman" w:hAnsi="Times New Roman" w:cs="Times New Roman"/>
                <w:b/>
                <w:color w:val="000000"/>
                <w:sz w:val="28"/>
                <w:szCs w:val="28"/>
              </w:rPr>
            </w:pPr>
            <w:r>
              <w:rPr>
                <w:rFonts w:ascii="Times New Roman" w:hAnsi="Times New Roman" w:cs="Times New Roman"/>
                <w:sz w:val="28"/>
                <w:szCs w:val="28"/>
              </w:rPr>
              <w:t xml:space="preserve">Assim, informa-se que, conforme </w:t>
            </w:r>
            <w:proofErr w:type="gramStart"/>
            <w:r>
              <w:rPr>
                <w:rFonts w:ascii="Times New Roman" w:hAnsi="Times New Roman" w:cs="Times New Roman"/>
                <w:sz w:val="28"/>
                <w:szCs w:val="28"/>
              </w:rPr>
              <w:t>documento</w:t>
            </w:r>
            <w:r w:rsidR="007622EE">
              <w:rPr>
                <w:rFonts w:ascii="Times New Roman" w:hAnsi="Times New Roman" w:cs="Times New Roman"/>
                <w:sz w:val="28"/>
                <w:szCs w:val="28"/>
              </w:rPr>
              <w:t>(s</w:t>
            </w:r>
            <w:proofErr w:type="gramEnd"/>
            <w:r w:rsidR="007622EE">
              <w:rPr>
                <w:rFonts w:ascii="Times New Roman" w:hAnsi="Times New Roman" w:cs="Times New Roman"/>
                <w:sz w:val="28"/>
                <w:szCs w:val="28"/>
              </w:rPr>
              <w:t>)</w:t>
            </w:r>
            <w:r>
              <w:rPr>
                <w:rFonts w:ascii="Times New Roman" w:hAnsi="Times New Roman" w:cs="Times New Roman"/>
                <w:sz w:val="28"/>
                <w:szCs w:val="28"/>
              </w:rPr>
              <w:t xml:space="preserve"> junto</w:t>
            </w:r>
            <w:r w:rsidR="007622EE">
              <w:rPr>
                <w:rFonts w:ascii="Times New Roman" w:hAnsi="Times New Roman" w:cs="Times New Roman"/>
                <w:sz w:val="28"/>
                <w:szCs w:val="28"/>
              </w:rPr>
              <w:t>(s)</w:t>
            </w:r>
            <w:r>
              <w:rPr>
                <w:rFonts w:ascii="Times New Roman" w:hAnsi="Times New Roman" w:cs="Times New Roman"/>
                <w:sz w:val="28"/>
                <w:szCs w:val="28"/>
              </w:rPr>
              <w:t xml:space="preserve">, o presente processo encontra-se na fase inicial: penhora de depósitos bancários e pesquisa de bens penhoráveis (PQC) e a aguardar a penhora para a citação da PF, conjuntamente com a notificação após penhora. </w:t>
            </w:r>
          </w:p>
        </w:tc>
      </w:tr>
    </w:tbl>
    <w:p w:rsidR="005B35C8" w:rsidRDefault="005B35C8" w:rsidP="008B7CFD">
      <w:pPr>
        <w:tabs>
          <w:tab w:val="left" w:pos="4820"/>
          <w:tab w:val="left" w:pos="5103"/>
          <w:tab w:val="left" w:pos="5670"/>
        </w:tabs>
        <w:autoSpaceDE w:val="0"/>
        <w:autoSpaceDN w:val="0"/>
        <w:adjustRightInd w:val="0"/>
        <w:spacing w:after="0"/>
        <w:ind w:right="567"/>
        <w:jc w:val="both"/>
        <w:rPr>
          <w:rFonts w:ascii="Times New Roman" w:hAnsi="Times New Roman" w:cs="Times New Roman"/>
          <w:i/>
          <w:color w:val="000000"/>
          <w:sz w:val="28"/>
          <w:szCs w:val="28"/>
        </w:rPr>
      </w:pPr>
    </w:p>
    <w:sectPr w:rsidR="005B35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257A3"/>
    <w:multiLevelType w:val="hybridMultilevel"/>
    <w:tmpl w:val="E1D4268E"/>
    <w:lvl w:ilvl="0" w:tplc="993E64C8">
      <w:start w:val="1"/>
      <w:numFmt w:val="upperLetter"/>
      <w:lvlText w:val="%1)"/>
      <w:lvlJc w:val="left"/>
      <w:pPr>
        <w:ind w:left="1065" w:hanging="360"/>
      </w:pPr>
      <w:rPr>
        <w:rFonts w:hint="default"/>
        <w:sz w:val="28"/>
      </w:rPr>
    </w:lvl>
    <w:lvl w:ilvl="1" w:tplc="08160019" w:tentative="1">
      <w:start w:val="1"/>
      <w:numFmt w:val="lowerLetter"/>
      <w:lvlText w:val="%2."/>
      <w:lvlJc w:val="left"/>
      <w:pPr>
        <w:ind w:left="1785" w:hanging="360"/>
      </w:pPr>
    </w:lvl>
    <w:lvl w:ilvl="2" w:tplc="0816001B" w:tentative="1">
      <w:start w:val="1"/>
      <w:numFmt w:val="lowerRoman"/>
      <w:lvlText w:val="%3."/>
      <w:lvlJc w:val="right"/>
      <w:pPr>
        <w:ind w:left="2505" w:hanging="180"/>
      </w:pPr>
    </w:lvl>
    <w:lvl w:ilvl="3" w:tplc="0816000F" w:tentative="1">
      <w:start w:val="1"/>
      <w:numFmt w:val="decimal"/>
      <w:lvlText w:val="%4."/>
      <w:lvlJc w:val="left"/>
      <w:pPr>
        <w:ind w:left="3225" w:hanging="360"/>
      </w:pPr>
    </w:lvl>
    <w:lvl w:ilvl="4" w:tplc="08160019" w:tentative="1">
      <w:start w:val="1"/>
      <w:numFmt w:val="lowerLetter"/>
      <w:lvlText w:val="%5."/>
      <w:lvlJc w:val="left"/>
      <w:pPr>
        <w:ind w:left="3945" w:hanging="360"/>
      </w:pPr>
    </w:lvl>
    <w:lvl w:ilvl="5" w:tplc="0816001B" w:tentative="1">
      <w:start w:val="1"/>
      <w:numFmt w:val="lowerRoman"/>
      <w:lvlText w:val="%6."/>
      <w:lvlJc w:val="right"/>
      <w:pPr>
        <w:ind w:left="4665" w:hanging="180"/>
      </w:pPr>
    </w:lvl>
    <w:lvl w:ilvl="6" w:tplc="0816000F" w:tentative="1">
      <w:start w:val="1"/>
      <w:numFmt w:val="decimal"/>
      <w:lvlText w:val="%7."/>
      <w:lvlJc w:val="left"/>
      <w:pPr>
        <w:ind w:left="5385" w:hanging="360"/>
      </w:pPr>
    </w:lvl>
    <w:lvl w:ilvl="7" w:tplc="08160019" w:tentative="1">
      <w:start w:val="1"/>
      <w:numFmt w:val="lowerLetter"/>
      <w:lvlText w:val="%8."/>
      <w:lvlJc w:val="left"/>
      <w:pPr>
        <w:ind w:left="6105" w:hanging="360"/>
      </w:pPr>
    </w:lvl>
    <w:lvl w:ilvl="8" w:tplc="0816001B" w:tentative="1">
      <w:start w:val="1"/>
      <w:numFmt w:val="lowerRoman"/>
      <w:lvlText w:val="%9."/>
      <w:lvlJc w:val="right"/>
      <w:pPr>
        <w:ind w:left="6825"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AAC"/>
    <w:rsid w:val="00013E77"/>
    <w:rsid w:val="00020069"/>
    <w:rsid w:val="000D297F"/>
    <w:rsid w:val="000F5F85"/>
    <w:rsid w:val="0015287B"/>
    <w:rsid w:val="0015618F"/>
    <w:rsid w:val="00182622"/>
    <w:rsid w:val="001835C6"/>
    <w:rsid w:val="00197C8E"/>
    <w:rsid w:val="001E7E3D"/>
    <w:rsid w:val="00281A95"/>
    <w:rsid w:val="002836B0"/>
    <w:rsid w:val="00297E0C"/>
    <w:rsid w:val="002A45A3"/>
    <w:rsid w:val="002D287E"/>
    <w:rsid w:val="002D7279"/>
    <w:rsid w:val="002D7D47"/>
    <w:rsid w:val="00351C93"/>
    <w:rsid w:val="00397586"/>
    <w:rsid w:val="00417AAC"/>
    <w:rsid w:val="00436DD8"/>
    <w:rsid w:val="00440D52"/>
    <w:rsid w:val="004567AD"/>
    <w:rsid w:val="004F171D"/>
    <w:rsid w:val="005B35C8"/>
    <w:rsid w:val="005B73A9"/>
    <w:rsid w:val="00651C18"/>
    <w:rsid w:val="0069359E"/>
    <w:rsid w:val="006C2CA6"/>
    <w:rsid w:val="00704A4F"/>
    <w:rsid w:val="007622EE"/>
    <w:rsid w:val="00794E95"/>
    <w:rsid w:val="007E619E"/>
    <w:rsid w:val="00844196"/>
    <w:rsid w:val="008A66B7"/>
    <w:rsid w:val="008B1236"/>
    <w:rsid w:val="008B7CFD"/>
    <w:rsid w:val="00934837"/>
    <w:rsid w:val="009A0E07"/>
    <w:rsid w:val="009A228F"/>
    <w:rsid w:val="009E298C"/>
    <w:rsid w:val="00A104E5"/>
    <w:rsid w:val="00A40523"/>
    <w:rsid w:val="00A92D18"/>
    <w:rsid w:val="00AE6B5C"/>
    <w:rsid w:val="00B230E7"/>
    <w:rsid w:val="00BB1AEA"/>
    <w:rsid w:val="00C20227"/>
    <w:rsid w:val="00C7064F"/>
    <w:rsid w:val="00CB200C"/>
    <w:rsid w:val="00CC03CF"/>
    <w:rsid w:val="00CC6A53"/>
    <w:rsid w:val="00D33578"/>
    <w:rsid w:val="00D4116D"/>
    <w:rsid w:val="00D467A4"/>
    <w:rsid w:val="00D811BD"/>
    <w:rsid w:val="00DD64E0"/>
    <w:rsid w:val="00DF3619"/>
    <w:rsid w:val="00E21365"/>
    <w:rsid w:val="00E803E4"/>
    <w:rsid w:val="00E9543A"/>
    <w:rsid w:val="00F060AE"/>
    <w:rsid w:val="00F220DB"/>
    <w:rsid w:val="00F94CCB"/>
    <w:rsid w:val="00FA196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98C"/>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182622"/>
    <w:rPr>
      <w:color w:val="0000FF"/>
      <w:u w:val="single"/>
    </w:rPr>
  </w:style>
  <w:style w:type="paragraph" w:customStyle="1" w:styleId="Default">
    <w:name w:val="Default"/>
    <w:rsid w:val="00E21365"/>
    <w:pPr>
      <w:autoSpaceDE w:val="0"/>
      <w:autoSpaceDN w:val="0"/>
      <w:adjustRightInd w:val="0"/>
      <w:spacing w:after="0" w:line="240" w:lineRule="auto"/>
    </w:pPr>
    <w:rPr>
      <w:rFonts w:ascii="Calibri" w:hAnsi="Calibri" w:cs="Calibri"/>
      <w:color w:val="000000"/>
      <w:sz w:val="24"/>
      <w:szCs w:val="24"/>
    </w:rPr>
  </w:style>
  <w:style w:type="table" w:styleId="Tabelacomgrelha">
    <w:name w:val="Table Grid"/>
    <w:basedOn w:val="Tabelanormal"/>
    <w:uiPriority w:val="39"/>
    <w:rsid w:val="00E21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D29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98C"/>
    <w:pPr>
      <w:spacing w:after="200" w:line="27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182622"/>
    <w:rPr>
      <w:color w:val="0000FF"/>
      <w:u w:val="single"/>
    </w:rPr>
  </w:style>
  <w:style w:type="paragraph" w:customStyle="1" w:styleId="Default">
    <w:name w:val="Default"/>
    <w:rsid w:val="00E21365"/>
    <w:pPr>
      <w:autoSpaceDE w:val="0"/>
      <w:autoSpaceDN w:val="0"/>
      <w:adjustRightInd w:val="0"/>
      <w:spacing w:after="0" w:line="240" w:lineRule="auto"/>
    </w:pPr>
    <w:rPr>
      <w:rFonts w:ascii="Calibri" w:hAnsi="Calibri" w:cs="Calibri"/>
      <w:color w:val="000000"/>
      <w:sz w:val="24"/>
      <w:szCs w:val="24"/>
    </w:rPr>
  </w:style>
  <w:style w:type="table" w:styleId="Tabelacomgrelha">
    <w:name w:val="Table Grid"/>
    <w:basedOn w:val="Tabelanormal"/>
    <w:uiPriority w:val="39"/>
    <w:rsid w:val="00E21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D29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96878">
      <w:bodyDiv w:val="1"/>
      <w:marLeft w:val="0"/>
      <w:marRight w:val="0"/>
      <w:marTop w:val="0"/>
      <w:marBottom w:val="0"/>
      <w:divBdr>
        <w:top w:val="none" w:sz="0" w:space="0" w:color="auto"/>
        <w:left w:val="none" w:sz="0" w:space="0" w:color="auto"/>
        <w:bottom w:val="none" w:sz="0" w:space="0" w:color="auto"/>
        <w:right w:val="none" w:sz="0" w:space="0" w:color="auto"/>
      </w:divBdr>
    </w:div>
    <w:div w:id="167788824">
      <w:bodyDiv w:val="1"/>
      <w:marLeft w:val="0"/>
      <w:marRight w:val="0"/>
      <w:marTop w:val="0"/>
      <w:marBottom w:val="0"/>
      <w:divBdr>
        <w:top w:val="none" w:sz="0" w:space="0" w:color="auto"/>
        <w:left w:val="none" w:sz="0" w:space="0" w:color="auto"/>
        <w:bottom w:val="none" w:sz="0" w:space="0" w:color="auto"/>
        <w:right w:val="none" w:sz="0" w:space="0" w:color="auto"/>
      </w:divBdr>
    </w:div>
    <w:div w:id="168298951">
      <w:bodyDiv w:val="1"/>
      <w:marLeft w:val="0"/>
      <w:marRight w:val="0"/>
      <w:marTop w:val="0"/>
      <w:marBottom w:val="0"/>
      <w:divBdr>
        <w:top w:val="none" w:sz="0" w:space="0" w:color="auto"/>
        <w:left w:val="none" w:sz="0" w:space="0" w:color="auto"/>
        <w:bottom w:val="none" w:sz="0" w:space="0" w:color="auto"/>
        <w:right w:val="none" w:sz="0" w:space="0" w:color="auto"/>
      </w:divBdr>
    </w:div>
    <w:div w:id="519974452">
      <w:bodyDiv w:val="1"/>
      <w:marLeft w:val="0"/>
      <w:marRight w:val="0"/>
      <w:marTop w:val="0"/>
      <w:marBottom w:val="0"/>
      <w:divBdr>
        <w:top w:val="none" w:sz="0" w:space="0" w:color="auto"/>
        <w:left w:val="none" w:sz="0" w:space="0" w:color="auto"/>
        <w:bottom w:val="none" w:sz="0" w:space="0" w:color="auto"/>
        <w:right w:val="none" w:sz="0" w:space="0" w:color="auto"/>
      </w:divBdr>
    </w:div>
    <w:div w:id="716510087">
      <w:bodyDiv w:val="1"/>
      <w:marLeft w:val="0"/>
      <w:marRight w:val="0"/>
      <w:marTop w:val="0"/>
      <w:marBottom w:val="0"/>
      <w:divBdr>
        <w:top w:val="none" w:sz="0" w:space="0" w:color="auto"/>
        <w:left w:val="none" w:sz="0" w:space="0" w:color="auto"/>
        <w:bottom w:val="none" w:sz="0" w:space="0" w:color="auto"/>
        <w:right w:val="none" w:sz="0" w:space="0" w:color="auto"/>
      </w:divBdr>
    </w:div>
    <w:div w:id="815993342">
      <w:bodyDiv w:val="1"/>
      <w:marLeft w:val="0"/>
      <w:marRight w:val="0"/>
      <w:marTop w:val="0"/>
      <w:marBottom w:val="0"/>
      <w:divBdr>
        <w:top w:val="none" w:sz="0" w:space="0" w:color="auto"/>
        <w:left w:val="none" w:sz="0" w:space="0" w:color="auto"/>
        <w:bottom w:val="none" w:sz="0" w:space="0" w:color="auto"/>
        <w:right w:val="none" w:sz="0" w:space="0" w:color="auto"/>
      </w:divBdr>
    </w:div>
    <w:div w:id="1342465172">
      <w:bodyDiv w:val="1"/>
      <w:marLeft w:val="0"/>
      <w:marRight w:val="0"/>
      <w:marTop w:val="0"/>
      <w:marBottom w:val="0"/>
      <w:divBdr>
        <w:top w:val="none" w:sz="0" w:space="0" w:color="auto"/>
        <w:left w:val="none" w:sz="0" w:space="0" w:color="auto"/>
        <w:bottom w:val="none" w:sz="0" w:space="0" w:color="auto"/>
        <w:right w:val="none" w:sz="0" w:space="0" w:color="auto"/>
      </w:divBdr>
    </w:div>
    <w:div w:id="1345790692">
      <w:bodyDiv w:val="1"/>
      <w:marLeft w:val="0"/>
      <w:marRight w:val="0"/>
      <w:marTop w:val="0"/>
      <w:marBottom w:val="0"/>
      <w:divBdr>
        <w:top w:val="none" w:sz="0" w:space="0" w:color="auto"/>
        <w:left w:val="none" w:sz="0" w:space="0" w:color="auto"/>
        <w:bottom w:val="none" w:sz="0" w:space="0" w:color="auto"/>
        <w:right w:val="none" w:sz="0" w:space="0" w:color="auto"/>
      </w:divBdr>
    </w:div>
    <w:div w:id="1371223671">
      <w:bodyDiv w:val="1"/>
      <w:marLeft w:val="0"/>
      <w:marRight w:val="0"/>
      <w:marTop w:val="0"/>
      <w:marBottom w:val="0"/>
      <w:divBdr>
        <w:top w:val="none" w:sz="0" w:space="0" w:color="auto"/>
        <w:left w:val="none" w:sz="0" w:space="0" w:color="auto"/>
        <w:bottom w:val="none" w:sz="0" w:space="0" w:color="auto"/>
        <w:right w:val="none" w:sz="0" w:space="0" w:color="auto"/>
      </w:divBdr>
    </w:div>
    <w:div w:id="1410469149">
      <w:bodyDiv w:val="1"/>
      <w:marLeft w:val="0"/>
      <w:marRight w:val="0"/>
      <w:marTop w:val="0"/>
      <w:marBottom w:val="0"/>
      <w:divBdr>
        <w:top w:val="none" w:sz="0" w:space="0" w:color="auto"/>
        <w:left w:val="none" w:sz="0" w:space="0" w:color="auto"/>
        <w:bottom w:val="none" w:sz="0" w:space="0" w:color="auto"/>
        <w:right w:val="none" w:sz="0" w:space="0" w:color="auto"/>
      </w:divBdr>
    </w:div>
    <w:div w:id="1418211711">
      <w:bodyDiv w:val="1"/>
      <w:marLeft w:val="0"/>
      <w:marRight w:val="0"/>
      <w:marTop w:val="0"/>
      <w:marBottom w:val="0"/>
      <w:divBdr>
        <w:top w:val="none" w:sz="0" w:space="0" w:color="auto"/>
        <w:left w:val="none" w:sz="0" w:space="0" w:color="auto"/>
        <w:bottom w:val="none" w:sz="0" w:space="0" w:color="auto"/>
        <w:right w:val="none" w:sz="0" w:space="0" w:color="auto"/>
      </w:divBdr>
    </w:div>
    <w:div w:id="1458573424">
      <w:bodyDiv w:val="1"/>
      <w:marLeft w:val="0"/>
      <w:marRight w:val="0"/>
      <w:marTop w:val="0"/>
      <w:marBottom w:val="0"/>
      <w:divBdr>
        <w:top w:val="none" w:sz="0" w:space="0" w:color="auto"/>
        <w:left w:val="none" w:sz="0" w:space="0" w:color="auto"/>
        <w:bottom w:val="none" w:sz="0" w:space="0" w:color="auto"/>
        <w:right w:val="none" w:sz="0" w:space="0" w:color="auto"/>
      </w:divBdr>
    </w:div>
    <w:div w:id="1580560274">
      <w:bodyDiv w:val="1"/>
      <w:marLeft w:val="0"/>
      <w:marRight w:val="0"/>
      <w:marTop w:val="0"/>
      <w:marBottom w:val="0"/>
      <w:divBdr>
        <w:top w:val="none" w:sz="0" w:space="0" w:color="auto"/>
        <w:left w:val="none" w:sz="0" w:space="0" w:color="auto"/>
        <w:bottom w:val="none" w:sz="0" w:space="0" w:color="auto"/>
        <w:right w:val="none" w:sz="0" w:space="0" w:color="auto"/>
      </w:divBdr>
    </w:div>
    <w:div w:id="1601257180">
      <w:bodyDiv w:val="1"/>
      <w:marLeft w:val="0"/>
      <w:marRight w:val="0"/>
      <w:marTop w:val="0"/>
      <w:marBottom w:val="0"/>
      <w:divBdr>
        <w:top w:val="none" w:sz="0" w:space="0" w:color="auto"/>
        <w:left w:val="none" w:sz="0" w:space="0" w:color="auto"/>
        <w:bottom w:val="none" w:sz="0" w:space="0" w:color="auto"/>
        <w:right w:val="none" w:sz="0" w:space="0" w:color="auto"/>
      </w:divBdr>
    </w:div>
    <w:div w:id="1679964656">
      <w:bodyDiv w:val="1"/>
      <w:marLeft w:val="0"/>
      <w:marRight w:val="0"/>
      <w:marTop w:val="0"/>
      <w:marBottom w:val="0"/>
      <w:divBdr>
        <w:top w:val="none" w:sz="0" w:space="0" w:color="auto"/>
        <w:left w:val="none" w:sz="0" w:space="0" w:color="auto"/>
        <w:bottom w:val="none" w:sz="0" w:space="0" w:color="auto"/>
        <w:right w:val="none" w:sz="0" w:space="0" w:color="auto"/>
      </w:divBdr>
    </w:div>
    <w:div w:id="1799839651">
      <w:bodyDiv w:val="1"/>
      <w:marLeft w:val="0"/>
      <w:marRight w:val="0"/>
      <w:marTop w:val="0"/>
      <w:marBottom w:val="0"/>
      <w:divBdr>
        <w:top w:val="none" w:sz="0" w:space="0" w:color="auto"/>
        <w:left w:val="none" w:sz="0" w:space="0" w:color="auto"/>
        <w:bottom w:val="none" w:sz="0" w:space="0" w:color="auto"/>
        <w:right w:val="none" w:sz="0" w:space="0" w:color="auto"/>
      </w:divBdr>
    </w:div>
    <w:div w:id="1853490719">
      <w:bodyDiv w:val="1"/>
      <w:marLeft w:val="0"/>
      <w:marRight w:val="0"/>
      <w:marTop w:val="0"/>
      <w:marBottom w:val="0"/>
      <w:divBdr>
        <w:top w:val="none" w:sz="0" w:space="0" w:color="auto"/>
        <w:left w:val="none" w:sz="0" w:space="0" w:color="auto"/>
        <w:bottom w:val="none" w:sz="0" w:space="0" w:color="auto"/>
        <w:right w:val="none" w:sz="0" w:space="0" w:color="auto"/>
      </w:divBdr>
    </w:div>
    <w:div w:id="1979067145">
      <w:bodyDiv w:val="1"/>
      <w:marLeft w:val="0"/>
      <w:marRight w:val="0"/>
      <w:marTop w:val="0"/>
      <w:marBottom w:val="0"/>
      <w:divBdr>
        <w:top w:val="none" w:sz="0" w:space="0" w:color="auto"/>
        <w:left w:val="none" w:sz="0" w:space="0" w:color="auto"/>
        <w:bottom w:val="none" w:sz="0" w:space="0" w:color="auto"/>
        <w:right w:val="none" w:sz="0" w:space="0" w:color="auto"/>
      </w:divBdr>
    </w:div>
    <w:div w:id="1980643233">
      <w:bodyDiv w:val="1"/>
      <w:marLeft w:val="0"/>
      <w:marRight w:val="0"/>
      <w:marTop w:val="0"/>
      <w:marBottom w:val="0"/>
      <w:divBdr>
        <w:top w:val="none" w:sz="0" w:space="0" w:color="auto"/>
        <w:left w:val="none" w:sz="0" w:space="0" w:color="auto"/>
        <w:bottom w:val="none" w:sz="0" w:space="0" w:color="auto"/>
        <w:right w:val="none" w:sz="0" w:space="0" w:color="auto"/>
      </w:divBdr>
    </w:div>
    <w:div w:id="213906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i.pt/jtre.%20nsf/134973db04f39bf2802579bf005f080b/1b99997fe9faee88802580fa0058d8b6?OpenDocumen%20%20t~" TargetMode="External"/><Relationship Id="rId3" Type="http://schemas.microsoft.com/office/2007/relationships/stylesWithEffects" Target="stylesWithEffects.xml"/><Relationship Id="rId7" Type="http://schemas.openxmlformats.org/officeDocument/2006/relationships/hyperlink" Target="http://www.dgsi.pt/jtrc.nsf/-4E18E83BE8004E7280257FDC003842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gsi.pt/jtrg.nsf/86c25a698e4e7cb7802579%20ec004%20d3832/2550182ffce379c480257cee003bd973?OpenDocumen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1340</Words>
  <Characters>7237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dc:creator>
  <cp:lastModifiedBy>Utilizador</cp:lastModifiedBy>
  <cp:revision>2</cp:revision>
  <dcterms:created xsi:type="dcterms:W3CDTF">2019-08-19T08:49:00Z</dcterms:created>
  <dcterms:modified xsi:type="dcterms:W3CDTF">2019-08-19T08:49:00Z</dcterms:modified>
</cp:coreProperties>
</file>