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DB" w:rsidRDefault="00F220DB" w:rsidP="00117359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DECISÃO DO AE &gt; Outra &gt; criar modelo: </w:t>
      </w:r>
    </w:p>
    <w:p w:rsidR="00B75DF1" w:rsidRDefault="00B75DF1" w:rsidP="00117359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decisão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inicial </w:t>
      </w:r>
    </w:p>
    <w:p w:rsidR="00F220DB" w:rsidRDefault="00F220DB" w:rsidP="00117359">
      <w:pPr>
        <w:pBdr>
          <w:bottom w:val="single" w:sz="12" w:space="18" w:color="auto"/>
        </w:pBd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tabs>
          <w:tab w:val="left" w:pos="5103"/>
        </w:tabs>
        <w:spacing w:after="0"/>
        <w:ind w:right="567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tabs>
          <w:tab w:val="left" w:pos="5103"/>
        </w:tabs>
        <w:spacing w:after="0"/>
        <w:ind w:right="567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ACEITAÇÃO DO REQUERIMENTO EXECUTIVO</w:t>
      </w:r>
    </w:p>
    <w:p w:rsidR="00F220DB" w:rsidRDefault="00F220DB" w:rsidP="00117359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 atual Código do Processo Civil, no n.º 1 do seu art.º 719.º vem estipular que as competências, em processo executivo, encontram-se repartidas entre o juiz, a secretaria e o agente de execução e a este cabe </w:t>
      </w:r>
      <w:r>
        <w:rPr>
          <w:rFonts w:ascii="Times New Roman" w:hAnsi="Times New Roman" w:cs="Times New Roman"/>
          <w:i/>
          <w:sz w:val="26"/>
          <w:szCs w:val="26"/>
        </w:rPr>
        <w:t xml:space="preserve">“(…) efetuar todas as diligências do processo executivo que não estejam atribuídas à secretaria ou sejam da competência do juiz (…). </w:t>
      </w:r>
    </w:p>
    <w:p w:rsidR="00F220DB" w:rsidRDefault="00F220DB" w:rsidP="00117359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220DB" w:rsidRDefault="00F220DB" w:rsidP="00117359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Na “Exposição de Motivos” da Proposta de Lei n.º 113/XII, tendo em vista a criação do atual Código do Processo Civil, o legislador não deixou qualquer dúvida acerca da sua posição, quanto às competências repartidas entre juiz, secretaria e agente de execução: </w:t>
      </w:r>
      <w:r>
        <w:rPr>
          <w:rFonts w:ascii="Times New Roman" w:hAnsi="Times New Roman" w:cs="Times New Roman"/>
          <w:i/>
          <w:sz w:val="26"/>
          <w:szCs w:val="26"/>
        </w:rPr>
        <w:t xml:space="preserve">“Cuida-se da clara repartição de competências entre o juiz, a secretaria e o agente de execução, estabelecendo-se que a este cabe efetuar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todas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as diligências do processo executivo que não estejam atribuídas à secretaria ou sejam da competência do juiz.” </w:t>
      </w:r>
      <w:r>
        <w:rPr>
          <w:rFonts w:ascii="Times New Roman" w:hAnsi="Times New Roman" w:cs="Times New Roman"/>
          <w:sz w:val="26"/>
          <w:szCs w:val="26"/>
        </w:rPr>
        <w:t xml:space="preserve">(sublinhado nosso). A palavra “todas”, já anteriormente mencionada na lei, não tem dois significados possíveis: se a lei não disser que a competência é da secretaria ou do juiz, então é do agente de execução. E acrescenta: </w:t>
      </w:r>
      <w:r>
        <w:rPr>
          <w:rFonts w:ascii="Times New Roman" w:hAnsi="Times New Roman" w:cs="Times New Roman"/>
          <w:i/>
          <w:sz w:val="26"/>
          <w:szCs w:val="26"/>
        </w:rPr>
        <w:t xml:space="preserve">“É de esperar que,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em definitivo</w:t>
      </w:r>
      <w:r>
        <w:rPr>
          <w:rFonts w:ascii="Times New Roman" w:hAnsi="Times New Roman" w:cs="Times New Roman"/>
          <w:i/>
          <w:sz w:val="26"/>
          <w:szCs w:val="26"/>
        </w:rPr>
        <w:t xml:space="preserve">, os intervenientes processuais assumam e observem a repartição de competências fixada na lei, por forma a evitar intervenções ou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actos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desnecessários, gerando perdas de tempo numa tramitação que se quer célere e eficiente.” </w:t>
      </w:r>
      <w:r>
        <w:rPr>
          <w:rFonts w:ascii="Times New Roman" w:hAnsi="Times New Roman" w:cs="Times New Roman"/>
          <w:sz w:val="26"/>
          <w:szCs w:val="26"/>
        </w:rPr>
        <w:t>(sublinhado nosso). Aqui, “em definitivo” o legislador ordena que se cumpra a sua vontade sem discussão.</w:t>
      </w:r>
    </w:p>
    <w:p w:rsidR="00F220DB" w:rsidRDefault="00F220DB" w:rsidP="00117359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tabs>
          <w:tab w:val="left" w:pos="5103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Nesse sentido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decisões de tribunais superiores:</w:t>
      </w:r>
      <w:r>
        <w:rPr>
          <w:rFonts w:ascii="Times New Roman" w:hAnsi="Times New Roman" w:cs="Times New Roman"/>
          <w:sz w:val="26"/>
          <w:szCs w:val="26"/>
        </w:rPr>
        <w:t xml:space="preserve"> - Acórdão de 15-05-2014, Proc.º n.º 5523/13.9T BBRG.G1, do Tribunal da Relação de Guimarães, disponível em </w:t>
      </w:r>
      <w:hyperlink r:id="rId6" w:history="1">
        <w:r>
          <w:rPr>
            <w:rStyle w:val="Hiperligao"/>
            <w:rFonts w:ascii="Times New Roman" w:hAnsi="Times New Roman" w:cs="Times New Roman"/>
            <w:sz w:val="26"/>
            <w:szCs w:val="26"/>
            <w:shd w:val="clear" w:color="auto" w:fill="FFFFFF"/>
          </w:rPr>
          <w:t>http://www.dgsi.pt/jtrg.nsf/86c25a698e4e7cb7802579 ec004 d3832/2550182ffce379c480257cee003bd973?OpenDocument</w:t>
        </w:r>
      </w:hyperlink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>
        <w:rPr>
          <w:rStyle w:val="Hiperligao"/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>
        <w:rPr>
          <w:rFonts w:ascii="Times New Roman" w:hAnsi="Times New Roman" w:cs="Times New Roman"/>
          <w:i/>
          <w:sz w:val="26"/>
          <w:szCs w:val="26"/>
        </w:rPr>
        <w:t xml:space="preserve">II.FUNDAMENTAÇÃO Apuradas as situações que determinem a extinção da execução, importa saber a quem compete declarar a extinção da execução, se ao agente de execução ou, antes ao juiz. A este propósito importa ter em conta que por força do disposto no nº 1 do artigo 723º do NCPC, se estabelece que sem prejuízo de outras intervenções que a lei </w:t>
      </w:r>
      <w:r>
        <w:rPr>
          <w:rFonts w:ascii="Times New Roman" w:hAnsi="Times New Roman" w:cs="Times New Roman"/>
          <w:i/>
          <w:sz w:val="26"/>
          <w:szCs w:val="26"/>
        </w:rPr>
        <w:lastRenderedPageBreak/>
        <w:t xml:space="preserve">especificamente lhe atribui, compete ao juiz (…). Por sua vez,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a competência do agente de execução é residual,</w:t>
      </w:r>
      <w:r>
        <w:rPr>
          <w:rFonts w:ascii="Times New Roman" w:hAnsi="Times New Roman" w:cs="Times New Roman"/>
          <w:i/>
          <w:sz w:val="26"/>
          <w:szCs w:val="26"/>
        </w:rPr>
        <w:t xml:space="preserve"> dado que lhe compete efetuar todas as diligências do processo executivo que não estejam atribuídas à secretaria ou sejam da competência do juiz (…).”. 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sublinhados  nossos</w:t>
      </w:r>
      <w:proofErr w:type="gramEnd"/>
      <w:r>
        <w:rPr>
          <w:rFonts w:ascii="Times New Roman" w:hAnsi="Times New Roman" w:cs="Times New Roman"/>
          <w:sz w:val="26"/>
          <w:szCs w:val="26"/>
        </w:rPr>
        <w:t>);</w:t>
      </w: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- Acórdão de 07-06-2016, Proc.º n.º 302/13.6 TBLSA.C, do Tribunal da Relação de Coimbra, disponível em </w:t>
      </w:r>
      <w:hyperlink r:id="rId7" w:history="1">
        <w:r>
          <w:rPr>
            <w:rStyle w:val="Hiperligao"/>
            <w:rFonts w:ascii="Times New Roman" w:hAnsi="Times New Roman" w:cs="Times New Roman"/>
            <w:bCs/>
            <w:sz w:val="26"/>
            <w:szCs w:val="26"/>
            <w:shd w:val="clear" w:color="auto" w:fill="FFFFFF"/>
          </w:rPr>
          <w:t>http://www.dgsi.pt/jtrc.nsf/-4E18E83BE8004E7280257FDC003842D9</w:t>
        </w:r>
      </w:hyperlink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”II– APRECIAÇÃO DO OBJECTO DO RECURSO 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Face ao modo como se encontra configurada a execução face ao novo regime da ação executiva iniciado com a publicação do DL. 38/2003, de 08.03, é ao agente de execução que se encontra atribuída a competência para a prática de </w:t>
      </w:r>
      <w:r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todas as diligências do processo executivo</w:t>
      </w:r>
      <w:r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 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 CCPC),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impulso e a gestão corrente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 do processo executivo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e ainda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o </w:t>
      </w:r>
      <w:r>
        <w:rPr>
          <w:rFonts w:ascii="Times New Roman" w:hAnsi="Times New Roman" w:cs="Times New Roman"/>
          <w:i/>
          <w:iCs/>
          <w:sz w:val="26"/>
          <w:szCs w:val="26"/>
          <w:u w:val="single"/>
          <w:shd w:val="clear" w:color="auto" w:fill="FFFFFF"/>
        </w:rPr>
        <w:t>poder de geral direção da ação executiva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u w:val="single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(artigo 719º) – com o significado de que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«a este cumpre decidir em cada momento qual o ato a praticar, qual a diligência a efetuar, se deve ou não ouvir o exequente e o executado, se deve aguardar a resposta de uma entidade pública ou o resultado de uma venda.»”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nossos); </w:t>
      </w: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Acórdão de 23-03-2017, Proc.º n.º 3133/07.9TJLSB.1.E, do Tribunal da Relação de Évora, disponível em </w:t>
      </w:r>
      <w:hyperlink r:id="rId8" w:history="1">
        <w:r>
          <w:rPr>
            <w:rStyle w:val="Hiperligao"/>
            <w:rFonts w:ascii="Times New Roman" w:hAnsi="Times New Roman" w:cs="Times New Roman"/>
            <w:sz w:val="26"/>
            <w:szCs w:val="26"/>
          </w:rPr>
          <w:t>http://www.dgsi.pt/jtre. nsf/134973db04f39bf2802579bf005f080b/1b99997fe9faee88802580fa0058d8b6?OpenDocumen  t~</w:t>
        </w:r>
      </w:hyperlink>
      <w:r>
        <w:rPr>
          <w:rFonts w:ascii="Times New Roman" w:hAnsi="Times New Roman" w:cs="Times New Roman"/>
          <w:sz w:val="26"/>
          <w:szCs w:val="26"/>
        </w:rPr>
        <w:t>: ”</w:t>
      </w:r>
      <w:r>
        <w:rPr>
          <w:rFonts w:ascii="Times New Roman" w:hAnsi="Times New Roman" w:cs="Times New Roman"/>
          <w:b/>
          <w:bCs/>
          <w:i/>
          <w:sz w:val="26"/>
          <w:szCs w:val="26"/>
          <w:shd w:val="clear" w:color="auto" w:fill="FFFFFF"/>
        </w:rPr>
        <w:t xml:space="preserve">III. 3. Síntese conclusiva: 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II – (…) o estatuído nos artigos 719.º e 723.º do CPC, que regem </w:t>
      </w:r>
      <w:proofErr w:type="spellStart"/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respectivamente</w:t>
      </w:r>
      <w:proofErr w:type="spellEnd"/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quanto à repartição de competências entre o agente de execução, a secretaria e o juiz, a competência para declarar (…),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está primeiramente cometida ao agente de execução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, salvo se </w:t>
      </w:r>
      <w:r>
        <w:rPr>
          <w:rFonts w:ascii="Times New Roman" w:hAnsi="Times New Roman" w:cs="Times New Roman"/>
          <w:i/>
          <w:sz w:val="26"/>
          <w:szCs w:val="26"/>
          <w:u w:val="single"/>
          <w:shd w:val="clear" w:color="auto" w:fill="FFFFFF"/>
        </w:rPr>
        <w:t>tiver sido suscitada ao juiz</w:t>
      </w:r>
      <w:r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pelo agente de execução ou pelas partes (alínea d) do artigo 723.º do CPC).”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(sublinhados nossos).</w:t>
      </w: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Como não existe uma atribuição própria da secretaria estabelecida nos n.ºs 3 e 4 do mesmo art.º 719.º, nem uma competência genérica definida nas alíneas do n.º 1 do art.º 723.º do CPC ou uma “intervenção” prevista no corpo desse mesmo n.º 1 para decidir a rejeição e o recebimento do requerimento executivo em processo sumário, esta competência, por exclusão de partes e pela aplicação daqueles normativos, é do agente de execução, pelo que, cumprindo a lei e a vontade do legislador e com o suporte da jurisprudência, cumpre ao agente de execução decidir.</w:t>
      </w: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Neste processo o requerimento executivo cumpre os requisitos do n.º 1 do art.º 724.º do CPC. A decisão judicial condenatória que serve de base à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execução é título executivo nos termos da alínea a) do n.º 1 do art.º 703.º do CPC. A sentença condenou o(a)(s) executado(a)(s) em pagamento de </w:t>
      </w:r>
      <w:r w:rsidR="00695F06">
        <w:rPr>
          <w:rFonts w:ascii="Times New Roman" w:hAnsi="Times New Roman" w:cs="Times New Roman"/>
          <w:sz w:val="26"/>
          <w:szCs w:val="26"/>
        </w:rPr>
        <w:t xml:space="preserve">quantia </w:t>
      </w:r>
      <w:r>
        <w:rPr>
          <w:rFonts w:ascii="Times New Roman" w:hAnsi="Times New Roman" w:cs="Times New Roman"/>
          <w:sz w:val="26"/>
          <w:szCs w:val="26"/>
        </w:rPr>
        <w:t xml:space="preserve">certa e </w:t>
      </w:r>
      <w:r w:rsidR="00695F06">
        <w:rPr>
          <w:rFonts w:ascii="Times New Roman" w:hAnsi="Times New Roman" w:cs="Times New Roman"/>
          <w:sz w:val="26"/>
          <w:szCs w:val="26"/>
        </w:rPr>
        <w:t xml:space="preserve">em </w:t>
      </w:r>
      <w:r>
        <w:rPr>
          <w:rFonts w:ascii="Times New Roman" w:hAnsi="Times New Roman" w:cs="Times New Roman"/>
          <w:sz w:val="26"/>
          <w:szCs w:val="26"/>
        </w:rPr>
        <w:t>entrega de coisa certa, pelo que estamos perante uma cumulação de execuções permitida pelo art.º 710.º do CPC.</w:t>
      </w: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 processo é de execução de sentença nos próprios atos, pelo que, nos termos do n.º 2 do art.º 626.º do CPC, segue a tramitação prevista para a forma sumária quanto à execução para pagamento de </w:t>
      </w:r>
      <w:r w:rsidR="00F17387">
        <w:rPr>
          <w:rFonts w:ascii="Times New Roman" w:hAnsi="Times New Roman" w:cs="Times New Roman"/>
          <w:sz w:val="26"/>
          <w:szCs w:val="26"/>
        </w:rPr>
        <w:t>quantia</w:t>
      </w:r>
      <w:r>
        <w:rPr>
          <w:rFonts w:ascii="Times New Roman" w:hAnsi="Times New Roman" w:cs="Times New Roman"/>
          <w:sz w:val="26"/>
          <w:szCs w:val="26"/>
        </w:rPr>
        <w:t xml:space="preserve"> certa. Quanto à execução para entrega de coisa certa segue a forma única, como prevê o n.º 4 do art.º 550.º do CPC. Assim, decide-se aceitar o requerimento executivo. O processo terá tramitação distinta, adaptada a cada uma das execuções cumuladas.</w:t>
      </w: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487A3B" w:rsidRDefault="009A0E07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Quanto à execução para pagamento de </w:t>
      </w:r>
      <w:r w:rsidR="00F17387">
        <w:rPr>
          <w:rFonts w:ascii="Times New Roman" w:hAnsi="Times New Roman" w:cs="Times New Roman"/>
          <w:sz w:val="26"/>
          <w:szCs w:val="26"/>
        </w:rPr>
        <w:t>quantia</w:t>
      </w:r>
      <w:r>
        <w:rPr>
          <w:rFonts w:ascii="Times New Roman" w:hAnsi="Times New Roman" w:cs="Times New Roman"/>
          <w:sz w:val="26"/>
          <w:szCs w:val="26"/>
        </w:rPr>
        <w:t xml:space="preserve"> certa, </w:t>
      </w:r>
      <w:r w:rsidR="00487A3B">
        <w:rPr>
          <w:rFonts w:ascii="Times New Roman" w:hAnsi="Times New Roman" w:cs="Times New Roman"/>
          <w:sz w:val="26"/>
          <w:szCs w:val="26"/>
        </w:rPr>
        <w:t xml:space="preserve">o(a) exequente veio nomear à penhora…, cuja penhora não viola lei imperativa nem ofende o princípio da proporcionalidade, tal como previsto nos n.ºs 1 e 2 do art.º 751.º do CPC, pelo que decide-se penhorar </w:t>
      </w:r>
      <w:proofErr w:type="gramStart"/>
      <w:r w:rsidR="00487A3B">
        <w:rPr>
          <w:rFonts w:ascii="Times New Roman" w:hAnsi="Times New Roman" w:cs="Times New Roman"/>
          <w:sz w:val="26"/>
          <w:szCs w:val="26"/>
        </w:rPr>
        <w:t>tal(</w:t>
      </w:r>
      <w:proofErr w:type="spellStart"/>
      <w:r w:rsidR="00487A3B">
        <w:rPr>
          <w:rFonts w:ascii="Times New Roman" w:hAnsi="Times New Roman" w:cs="Times New Roman"/>
          <w:sz w:val="26"/>
          <w:szCs w:val="26"/>
        </w:rPr>
        <w:t>is</w:t>
      </w:r>
      <w:proofErr w:type="spellEnd"/>
      <w:proofErr w:type="gramEnd"/>
      <w:r w:rsidR="00487A3B">
        <w:rPr>
          <w:rFonts w:ascii="Times New Roman" w:hAnsi="Times New Roman" w:cs="Times New Roman"/>
          <w:sz w:val="26"/>
          <w:szCs w:val="26"/>
        </w:rPr>
        <w:t>) bem(</w:t>
      </w:r>
      <w:proofErr w:type="spellStart"/>
      <w:r w:rsidR="00487A3B">
        <w:rPr>
          <w:rFonts w:ascii="Times New Roman" w:hAnsi="Times New Roman" w:cs="Times New Roman"/>
          <w:sz w:val="26"/>
          <w:szCs w:val="26"/>
        </w:rPr>
        <w:t>ns</w:t>
      </w:r>
      <w:proofErr w:type="spellEnd"/>
      <w:r w:rsidR="00487A3B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Quanto à execução para entrega de coisa certa, será agendada a entrega </w:t>
      </w:r>
      <w:proofErr w:type="gramStart"/>
      <w:r>
        <w:rPr>
          <w:rFonts w:ascii="Times New Roman" w:hAnsi="Times New Roman" w:cs="Times New Roman"/>
          <w:sz w:val="26"/>
          <w:szCs w:val="26"/>
        </w:rPr>
        <w:t>do(s</w:t>
      </w:r>
      <w:proofErr w:type="gramEnd"/>
      <w:r>
        <w:rPr>
          <w:rFonts w:ascii="Times New Roman" w:hAnsi="Times New Roman" w:cs="Times New Roman"/>
          <w:sz w:val="26"/>
          <w:szCs w:val="26"/>
        </w:rPr>
        <w:t>) bem(</w:t>
      </w:r>
      <w:proofErr w:type="spellStart"/>
      <w:r>
        <w:rPr>
          <w:rFonts w:ascii="Times New Roman" w:hAnsi="Times New Roman" w:cs="Times New Roman"/>
          <w:sz w:val="26"/>
          <w:szCs w:val="26"/>
        </w:rPr>
        <w:t>ns</w:t>
      </w:r>
      <w:proofErr w:type="spellEnd"/>
      <w:r>
        <w:rPr>
          <w:rFonts w:ascii="Times New Roman" w:hAnsi="Times New Roman" w:cs="Times New Roman"/>
          <w:sz w:val="26"/>
          <w:szCs w:val="26"/>
        </w:rPr>
        <w:t>) antes da notificação do(a)(s) executado(a)(s), conforme impõe o n.º 3 do ar.º 626.º do CPC.</w:t>
      </w:r>
    </w:p>
    <w:p w:rsidR="00A95E7E" w:rsidRDefault="00A95E7E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 processo, quanto à execução para pa</w:t>
      </w:r>
      <w:r w:rsidR="00F17387">
        <w:rPr>
          <w:rFonts w:ascii="Times New Roman" w:hAnsi="Times New Roman" w:cs="Times New Roman"/>
          <w:sz w:val="26"/>
          <w:szCs w:val="26"/>
        </w:rPr>
        <w:t>gamento de quantia</w:t>
      </w:r>
      <w:r>
        <w:rPr>
          <w:rFonts w:ascii="Times New Roman" w:hAnsi="Times New Roman" w:cs="Times New Roman"/>
          <w:sz w:val="26"/>
          <w:szCs w:val="26"/>
        </w:rPr>
        <w:t xml:space="preserve"> certa, sempre que não exista norma própria estabelecida no Capítulo “Do processo sumário”, seguirá as normas estabelecidas no Capítulo “Do processo ordinário”, por força do n.º 3 do art.º 551.º do CPC. </w:t>
      </w: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D6A5B" w:rsidRDefault="003D6A5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3D6A5B" w:rsidRDefault="003D6A5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pBdr>
          <w:bottom w:val="single" w:sz="12" w:space="1" w:color="auto"/>
        </w:pBd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F220DB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ATOS CONEXOS:</w:t>
      </w:r>
    </w:p>
    <w:p w:rsidR="00F220DB" w:rsidRDefault="00F220DB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A95E7E" w:rsidRDefault="003449E0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95E7E">
        <w:rPr>
          <w:rFonts w:ascii="Times New Roman" w:hAnsi="Times New Roman" w:cs="Times New Roman"/>
          <w:color w:val="000000"/>
          <w:sz w:val="28"/>
          <w:szCs w:val="28"/>
        </w:rPr>
        <w:t xml:space="preserve"> - Penhora dos bens nomeados </w:t>
      </w:r>
      <w:r w:rsidR="00A95E7E" w:rsidRPr="000D297F">
        <w:rPr>
          <w:rFonts w:ascii="Times New Roman" w:hAnsi="Times New Roman" w:cs="Times New Roman"/>
          <w:i/>
          <w:color w:val="000000"/>
          <w:sz w:val="28"/>
          <w:szCs w:val="28"/>
        </w:rPr>
        <w:t>(depois do pagamento da provisão):</w:t>
      </w:r>
    </w:p>
    <w:p w:rsidR="00A95E7E" w:rsidRDefault="00A95E7E" w:rsidP="00117359">
      <w:pPr>
        <w:pStyle w:val="PargrafodaLista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>–</w:t>
      </w:r>
      <w:r w:rsidRPr="000D297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>Imóvel:</w:t>
      </w:r>
    </w:p>
    <w:p w:rsidR="00A95E7E" w:rsidRPr="00351C93" w:rsidRDefault="00A95E7E" w:rsidP="00117359">
      <w:pPr>
        <w:pStyle w:val="PargrafodaLista"/>
        <w:tabs>
          <w:tab w:val="left" w:pos="0"/>
        </w:tabs>
        <w:autoSpaceDE w:val="0"/>
        <w:autoSpaceDN w:val="0"/>
        <w:adjustRightInd w:val="0"/>
        <w:spacing w:after="0"/>
        <w:ind w:left="1065" w:right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- </w:t>
      </w:r>
      <w:r w:rsidRPr="000D297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Predial </w:t>
      </w:r>
      <w:proofErr w:type="gramStart"/>
      <w:r w:rsidRPr="000D297F">
        <w:rPr>
          <w:rFonts w:ascii="Times New Roman" w:hAnsi="Times New Roman" w:cs="Times New Roman"/>
          <w:i/>
          <w:color w:val="000000"/>
          <w:sz w:val="26"/>
          <w:szCs w:val="26"/>
        </w:rPr>
        <w:t>online</w:t>
      </w:r>
      <w:proofErr w:type="gramEnd"/>
      <w:r w:rsidRPr="000D297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351C93">
        <w:rPr>
          <w:rFonts w:ascii="Times New Roman" w:hAnsi="Times New Roman" w:cs="Times New Roman"/>
          <w:i/>
          <w:color w:val="000000"/>
          <w:sz w:val="24"/>
          <w:szCs w:val="24"/>
        </w:rPr>
        <w:t>(declarações complementares em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51C93">
        <w:rPr>
          <w:rFonts w:ascii="Times New Roman" w:hAnsi="Times New Roman" w:cs="Times New Roman"/>
          <w:i/>
          <w:color w:val="000000"/>
          <w:sz w:val="24"/>
          <w:szCs w:val="24"/>
        </w:rPr>
        <w:t>1.1.1.</w:t>
      </w:r>
      <w:r w:rsidR="001847A4">
        <w:rPr>
          <w:rFonts w:ascii="Times New Roman" w:hAnsi="Times New Roman" w:cs="Times New Roman"/>
          <w:i/>
          <w:color w:val="000000"/>
          <w:sz w:val="24"/>
          <w:szCs w:val="24"/>
        </w:rPr>
        <w:t>2</w:t>
      </w:r>
      <w:r w:rsidRPr="00351C93">
        <w:rPr>
          <w:rFonts w:ascii="Times New Roman" w:hAnsi="Times New Roman" w:cs="Times New Roman"/>
          <w:i/>
          <w:color w:val="000000"/>
          <w:sz w:val="24"/>
          <w:szCs w:val="24"/>
        </w:rPr>
        <w:t>.2</w:t>
      </w:r>
      <w:r w:rsidR="001847A4">
        <w:rPr>
          <w:rFonts w:ascii="Times New Roman" w:hAnsi="Times New Roman" w:cs="Times New Roman"/>
          <w:i/>
          <w:color w:val="000000"/>
          <w:sz w:val="24"/>
          <w:szCs w:val="24"/>
        </w:rPr>
        <w:t>.1</w:t>
      </w:r>
      <w:r w:rsidRPr="00351C93">
        <w:rPr>
          <w:rFonts w:ascii="Times New Roman" w:hAnsi="Times New Roman" w:cs="Times New Roman"/>
          <w:i/>
          <w:color w:val="000000"/>
          <w:sz w:val="24"/>
          <w:szCs w:val="24"/>
        </w:rPr>
        <w:t>.1.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1)</w:t>
      </w:r>
      <w:r w:rsidRPr="00351C9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A95E7E" w:rsidRDefault="00A95E7E" w:rsidP="00117359">
      <w:pPr>
        <w:tabs>
          <w:tab w:val="left" w:pos="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</w:t>
      </w:r>
    </w:p>
    <w:p w:rsidR="00A95E7E" w:rsidRPr="000D297F" w:rsidRDefault="00A95E7E" w:rsidP="00117359">
      <w:pPr>
        <w:pStyle w:val="PargrafodaLista"/>
        <w:numPr>
          <w:ilvl w:val="0"/>
          <w:numId w:val="1"/>
        </w:num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>– Móvel sujeito a registo:</w:t>
      </w:r>
    </w:p>
    <w:p w:rsidR="00A95E7E" w:rsidRDefault="00A95E7E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  - Automóvel - Automóvel online</w:t>
      </w:r>
    </w:p>
    <w:p w:rsidR="00A95E7E" w:rsidRDefault="00A95E7E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</w:t>
      </w:r>
      <w:r w:rsidR="003D6A5B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- Navios</w:t>
      </w:r>
      <w:r w:rsidR="003D6A5B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- </w:t>
      </w:r>
      <w:r w:rsidR="003D6A5B" w:rsidRPr="00325BF3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Balcão Eletrónico do Mar (</w:t>
      </w:r>
      <w:proofErr w:type="spellStart"/>
      <w:r w:rsidR="003D6A5B" w:rsidRPr="00325BF3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BMar</w:t>
      </w:r>
      <w:proofErr w:type="spellEnd"/>
      <w:r w:rsidR="003D6A5B" w:rsidRPr="00325BF3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),</w:t>
      </w:r>
    </w:p>
    <w:p w:rsidR="00A95E7E" w:rsidRDefault="00A95E7E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lastRenderedPageBreak/>
        <w:t xml:space="preserve">                      - Aeronaves:</w:t>
      </w:r>
    </w:p>
    <w:p w:rsidR="00A95E7E" w:rsidRDefault="00A95E7E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         - Conservatória do Registo Comercial </w:t>
      </w:r>
    </w:p>
    <w:p w:rsidR="00A95E7E" w:rsidRDefault="00A95E7E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                              - </w:t>
      </w:r>
      <w:r>
        <w:rPr>
          <w:rFonts w:ascii="Times New Roman" w:hAnsi="Times New Roman" w:cs="Times New Roman"/>
          <w:i/>
          <w:sz w:val="26"/>
          <w:szCs w:val="26"/>
        </w:rPr>
        <w:t>Registo Aeronáutico Nacional</w:t>
      </w:r>
    </w:p>
    <w:p w:rsidR="00A95E7E" w:rsidRDefault="00A95E7E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95E7E" w:rsidRDefault="00A95E7E" w:rsidP="00117359">
      <w:pPr>
        <w:pStyle w:val="PargrafodaLista"/>
        <w:numPr>
          <w:ilvl w:val="0"/>
          <w:numId w:val="1"/>
        </w:num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– Salários/pensões/créditos/outras:</w:t>
      </w:r>
    </w:p>
    <w:p w:rsidR="00A95E7E" w:rsidRDefault="00A95E7E" w:rsidP="00117359">
      <w:pPr>
        <w:pStyle w:val="PargrafodaLista"/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left="1065" w:right="567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- GPESE</w:t>
      </w:r>
    </w:p>
    <w:p w:rsidR="00AB4DA3" w:rsidRDefault="00AB4DA3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8503DF" w:rsidRPr="00AB4DA3" w:rsidRDefault="008503DF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p w:rsidR="00F220DB" w:rsidRDefault="003449E0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220DB">
        <w:rPr>
          <w:rFonts w:ascii="Times New Roman" w:hAnsi="Times New Roman" w:cs="Times New Roman"/>
          <w:color w:val="000000"/>
          <w:sz w:val="28"/>
          <w:szCs w:val="28"/>
        </w:rPr>
        <w:t xml:space="preserve"> – Agendar a entrega de coisa certa</w:t>
      </w:r>
    </w:p>
    <w:p w:rsidR="003D6A5B" w:rsidRDefault="003D6A5B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 – Auto de diligências em branco: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- </w:t>
      </w:r>
      <w:proofErr w:type="gramStart"/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>GPESE &gt;</w:t>
      </w:r>
      <w:proofErr w:type="gramEnd"/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Penhoras &gt; Autos de Diligência &gt; Auto de        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</w:t>
      </w:r>
      <w:r w:rsidRPr="007F6AAC">
        <w:rPr>
          <w:rFonts w:ascii="Times New Roman" w:hAnsi="Times New Roman" w:cs="Times New Roman"/>
          <w:i/>
          <w:color w:val="000000"/>
          <w:sz w:val="28"/>
          <w:szCs w:val="28"/>
        </w:rPr>
        <w:t>Diligência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3D6A5B" w:rsidRPr="00B406C4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B406C4">
        <w:rPr>
          <w:rFonts w:ascii="Times New Roman" w:hAnsi="Times New Roman" w:cs="Times New Roman"/>
          <w:color w:val="000000"/>
          <w:sz w:val="28"/>
          <w:szCs w:val="28"/>
        </w:rPr>
        <w:t xml:space="preserve"> – Serviço externo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3D6A5B" w:rsidRPr="001C13F5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  <w:highlight w:val="cyan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5 – Notificação depois da entrega </w:t>
      </w:r>
      <w:r w:rsidRPr="001C13F5">
        <w:rPr>
          <w:rFonts w:ascii="Times New Roman" w:hAnsi="Times New Roman" w:cs="Times New Roman"/>
          <w:color w:val="000000"/>
          <w:sz w:val="26"/>
          <w:szCs w:val="26"/>
          <w:highlight w:val="cyan"/>
        </w:rPr>
        <w:t xml:space="preserve">(pode ser inserido no Auto de Diligências 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13F5">
        <w:rPr>
          <w:rFonts w:ascii="Times New Roman" w:hAnsi="Times New Roman" w:cs="Times New Roman"/>
          <w:color w:val="000000"/>
          <w:sz w:val="26"/>
          <w:szCs w:val="26"/>
          <w:highlight w:val="cyan"/>
        </w:rPr>
        <w:t xml:space="preserve">      </w:t>
      </w:r>
      <w:proofErr w:type="gramStart"/>
      <w:r w:rsidRPr="001C13F5">
        <w:rPr>
          <w:rFonts w:ascii="Times New Roman" w:hAnsi="Times New Roman" w:cs="Times New Roman"/>
          <w:color w:val="000000"/>
          <w:sz w:val="26"/>
          <w:szCs w:val="26"/>
          <w:highlight w:val="cyan"/>
        </w:rPr>
        <w:t>assinado</w:t>
      </w:r>
      <w:proofErr w:type="gramEnd"/>
      <w:r w:rsidRPr="001C13F5">
        <w:rPr>
          <w:rFonts w:ascii="Times New Roman" w:hAnsi="Times New Roman" w:cs="Times New Roman"/>
          <w:color w:val="000000"/>
          <w:sz w:val="26"/>
          <w:szCs w:val="26"/>
          <w:highlight w:val="cyan"/>
        </w:rPr>
        <w:t xml:space="preserve"> pelo executado)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C13F5">
        <w:rPr>
          <w:rFonts w:ascii="Times New Roman" w:hAnsi="Times New Roman" w:cs="Times New Roman"/>
          <w:color w:val="000000"/>
          <w:sz w:val="26"/>
          <w:szCs w:val="26"/>
          <w:highlight w:val="yellow"/>
        </w:rPr>
        <w:t>Ou: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 – Notificação ao executado depois da entrega: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- </w:t>
      </w:r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GPESE: </w:t>
      </w:r>
      <w:proofErr w:type="gramStart"/>
      <w:r>
        <w:rPr>
          <w:rFonts w:ascii="Times New Roman" w:hAnsi="Times New Roman" w:cs="Times New Roman"/>
          <w:i/>
          <w:color w:val="000000"/>
          <w:sz w:val="26"/>
          <w:szCs w:val="26"/>
        </w:rPr>
        <w:t>notificações &gt;</w:t>
      </w:r>
      <w:proofErr w:type="gramEnd"/>
      <w:r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Executado &gt; NOT. EXEC. Genérica:</w:t>
      </w:r>
    </w:p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D6A5B" w:rsidTr="0063200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A5B" w:rsidRDefault="003D6A5B" w:rsidP="00632008">
            <w:pPr>
              <w:pStyle w:val="NormalWeb"/>
              <w:spacing w:before="0" w:beforeAutospacing="0" w:after="0" w:afterAutospacing="0"/>
              <w:jc w:val="both"/>
              <w:rPr>
                <w:color w:val="222222"/>
                <w:sz w:val="26"/>
                <w:szCs w:val="26"/>
                <w:lang w:eastAsia="en-US"/>
              </w:rPr>
            </w:pPr>
            <w:r>
              <w:rPr>
                <w:color w:val="222222"/>
                <w:sz w:val="26"/>
                <w:szCs w:val="26"/>
                <w:lang w:eastAsia="en-US"/>
              </w:rPr>
              <w:t xml:space="preserve">Concretizada a entrega </w:t>
            </w:r>
            <w:proofErr w:type="gramStart"/>
            <w:r>
              <w:rPr>
                <w:color w:val="222222"/>
                <w:sz w:val="26"/>
                <w:szCs w:val="26"/>
                <w:lang w:eastAsia="en-US"/>
              </w:rPr>
              <w:t>do(s</w:t>
            </w:r>
            <w:proofErr w:type="gramEnd"/>
            <w:r>
              <w:rPr>
                <w:color w:val="222222"/>
                <w:sz w:val="26"/>
                <w:szCs w:val="26"/>
                <w:lang w:eastAsia="en-US"/>
              </w:rPr>
              <w:t>) bem(</w:t>
            </w:r>
            <w:proofErr w:type="spellStart"/>
            <w:r>
              <w:rPr>
                <w:color w:val="222222"/>
                <w:sz w:val="26"/>
                <w:szCs w:val="26"/>
                <w:lang w:eastAsia="en-US"/>
              </w:rPr>
              <w:t>ns</w:t>
            </w:r>
            <w:proofErr w:type="spellEnd"/>
            <w:r>
              <w:rPr>
                <w:color w:val="222222"/>
                <w:sz w:val="26"/>
                <w:szCs w:val="26"/>
                <w:lang w:eastAsia="en-US"/>
              </w:rPr>
              <w:t>) objeto deste processo de entrega de coisa certa, em execução de decisão judicial condenatória, fica V. Exa notificado, nos termos do n.º 3 do art.º 626.º do Código Processo Civil (CPC), para, querendo, no prazo de 10 (DEZ) dias, deduzir oposição.</w:t>
            </w:r>
          </w:p>
          <w:p w:rsidR="003D6A5B" w:rsidRDefault="003D6A5B" w:rsidP="00632008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  <w:lang w:eastAsia="en-US"/>
              </w:rPr>
            </w:pPr>
          </w:p>
          <w:p w:rsidR="003D6A5B" w:rsidRDefault="003D6A5B" w:rsidP="00632008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  <w:lang w:eastAsia="en-US"/>
              </w:rPr>
            </w:pPr>
            <w:r>
              <w:rPr>
                <w:color w:val="222222"/>
                <w:sz w:val="26"/>
                <w:szCs w:val="26"/>
                <w:lang w:eastAsia="en-US"/>
              </w:rPr>
              <w:t>Junta: Requerimento executivo e documentos que o acompanham.</w:t>
            </w:r>
          </w:p>
          <w:p w:rsidR="003D6A5B" w:rsidRDefault="003D6A5B" w:rsidP="00632008">
            <w:pPr>
              <w:pStyle w:val="NormalWeb"/>
              <w:spacing w:before="0" w:beforeAutospacing="0" w:after="0" w:afterAutospacing="0"/>
              <w:rPr>
                <w:color w:val="222222"/>
                <w:sz w:val="26"/>
                <w:szCs w:val="26"/>
                <w:lang w:eastAsia="en-US"/>
              </w:rPr>
            </w:pPr>
          </w:p>
          <w:p w:rsidR="003D6A5B" w:rsidRDefault="003D6A5B" w:rsidP="00632008">
            <w:pPr>
              <w:pStyle w:val="NormalWeb"/>
              <w:spacing w:before="0" w:beforeAutospacing="0" w:after="0" w:afterAutospacing="0"/>
              <w:rPr>
                <w:i/>
                <w:color w:val="000000"/>
                <w:sz w:val="28"/>
                <w:szCs w:val="28"/>
                <w:lang w:eastAsia="en-US"/>
              </w:rPr>
            </w:pPr>
            <w:r>
              <w:rPr>
                <w:color w:val="222222"/>
                <w:sz w:val="26"/>
                <w:szCs w:val="26"/>
                <w:lang w:eastAsia="en-US"/>
              </w:rPr>
              <w:t>Com os melhores cumprimentos</w:t>
            </w:r>
          </w:p>
        </w:tc>
      </w:tr>
    </w:tbl>
    <w:p w:rsidR="003D6A5B" w:rsidRDefault="003D6A5B" w:rsidP="003D6A5B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20DB" w:rsidRDefault="00F220DB" w:rsidP="00117359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F220DB" w:rsidRDefault="00F220DB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20DB" w:rsidRDefault="00F220DB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ESTATÍSTICA (Informação aos autos):</w:t>
      </w:r>
    </w:p>
    <w:p w:rsidR="003449E0" w:rsidRDefault="003449E0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449E0" w:rsidRDefault="003449E0" w:rsidP="003449E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A do Impulso Processual (2.3.1.2.1) do pedido de provisão</w:t>
      </w:r>
    </w:p>
    <w:p w:rsidR="003449E0" w:rsidRDefault="003449E0" w:rsidP="003449E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3449E0" w:rsidRDefault="003449E0" w:rsidP="003449E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</w:rPr>
        <w:t>OU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>:</w:t>
      </w:r>
    </w:p>
    <w:p w:rsidR="003449E0" w:rsidRDefault="003449E0" w:rsidP="003449E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3449E0" w:rsidRDefault="003449E0" w:rsidP="003449E0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highlight w:val="cyan"/>
        </w:rPr>
        <w:t>- Se não for pedida provisão ou depois dela paga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</w:p>
    <w:p w:rsidR="003449E0" w:rsidRDefault="003449E0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220DB" w:rsidRDefault="00F220DB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Estados do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>processo &gt;</w:t>
      </w:r>
      <w:proofErr w:type="gram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Fase I</w:t>
      </w:r>
      <w:r w:rsidR="003D6A5B">
        <w:rPr>
          <w:rFonts w:ascii="Times New Roman" w:hAnsi="Times New Roman" w:cs="Times New Roman"/>
          <w:i/>
          <w:color w:val="000000"/>
          <w:sz w:val="28"/>
          <w:szCs w:val="28"/>
        </w:rPr>
        <w:t>I - Penhora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&gt; </w:t>
      </w:r>
      <w:r w:rsidR="003D6A5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Diligências em Curso &gt;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criar modelo: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449E0" w:rsidRDefault="003449E0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220DB" w:rsidRDefault="00F220DB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INFORMAÇÃO AOS AUTOS </w:t>
      </w:r>
      <w:r w:rsidR="00A95E7E">
        <w:rPr>
          <w:rFonts w:ascii="Times New Roman" w:hAnsi="Times New Roman" w:cs="Times New Roman"/>
          <w:i/>
          <w:sz w:val="28"/>
          <w:szCs w:val="28"/>
        </w:rPr>
        <w:t>–</w:t>
      </w:r>
      <w:r>
        <w:rPr>
          <w:rFonts w:ascii="Times New Roman" w:hAnsi="Times New Roman" w:cs="Times New Roman"/>
          <w:i/>
          <w:sz w:val="28"/>
          <w:szCs w:val="28"/>
        </w:rPr>
        <w:t xml:space="preserve"> penhora</w:t>
      </w:r>
      <w:r w:rsidR="00A95E7E">
        <w:rPr>
          <w:rFonts w:ascii="Times New Roman" w:hAnsi="Times New Roman" w:cs="Times New Roman"/>
          <w:i/>
          <w:sz w:val="28"/>
          <w:szCs w:val="28"/>
        </w:rPr>
        <w:t xml:space="preserve"> de… </w:t>
      </w:r>
      <w:r>
        <w:rPr>
          <w:rFonts w:ascii="Times New Roman" w:hAnsi="Times New Roman" w:cs="Times New Roman"/>
          <w:i/>
          <w:sz w:val="28"/>
          <w:szCs w:val="28"/>
        </w:rPr>
        <w:t>– depende do AE</w:t>
      </w:r>
    </w:p>
    <w:p w:rsidR="006B01B8" w:rsidRDefault="006B01B8" w:rsidP="00117359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220DB" w:rsidTr="00F220DB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0DB" w:rsidRDefault="00F220DB" w:rsidP="001173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INFORMAÇÃO AOS AUTOS </w:t>
            </w:r>
          </w:p>
          <w:p w:rsidR="00F220DB" w:rsidRDefault="00F220DB" w:rsidP="00117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F220DB" w:rsidRDefault="00F220DB" w:rsidP="001173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Depende do AE</w:t>
            </w:r>
          </w:p>
          <w:p w:rsidR="00F220DB" w:rsidRDefault="00F220DB" w:rsidP="001173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220DB" w:rsidRDefault="00F220DB" w:rsidP="001173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Assunto</w:t>
            </w:r>
            <w:r w:rsidR="008503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penhora de depósitos bancários e pesquisa de bens penhoráveis</w:t>
            </w:r>
            <w:r w:rsidR="008503D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(PQC) e </w:t>
            </w:r>
            <w:r w:rsidR="003449E0">
              <w:rPr>
                <w:rFonts w:ascii="Times New Roman" w:hAnsi="Times New Roman" w:cs="Times New Roman"/>
                <w:i/>
                <w:sz w:val="28"/>
                <w:szCs w:val="28"/>
              </w:rPr>
              <w:t>ECC</w:t>
            </w:r>
          </w:p>
          <w:p w:rsidR="00F220DB" w:rsidRDefault="00F220DB" w:rsidP="0011735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220DB" w:rsidRDefault="00F220DB" w:rsidP="0011735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F220DB" w:rsidRDefault="00F220DB" w:rsidP="0011735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20DB" w:rsidRDefault="00F220DB" w:rsidP="0011735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F220DB" w:rsidRDefault="00F220DB" w:rsidP="00117359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20DB" w:rsidRDefault="00F220DB" w:rsidP="001173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Assim, informa-se que, conforme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documento</w:t>
            </w:r>
            <w:r w:rsidR="0039475F">
              <w:rPr>
                <w:rFonts w:ascii="Times New Roman" w:hAnsi="Times New Roman" w:cs="Times New Roman"/>
                <w:sz w:val="28"/>
                <w:szCs w:val="28"/>
              </w:rPr>
              <w:t>(s</w:t>
            </w:r>
            <w:proofErr w:type="gramEnd"/>
            <w:r w:rsidR="0039475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junto</w:t>
            </w:r>
            <w:r w:rsidR="0039475F">
              <w:rPr>
                <w:rFonts w:ascii="Times New Roman" w:hAnsi="Times New Roman" w:cs="Times New Roman"/>
                <w:sz w:val="28"/>
                <w:szCs w:val="28"/>
              </w:rPr>
              <w:t>(s)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o presente processo encontra-se na fase inicial: penhora </w:t>
            </w:r>
            <w:r w:rsidR="00A95E7E">
              <w:rPr>
                <w:rFonts w:ascii="Times New Roman" w:hAnsi="Times New Roman" w:cs="Times New Roman"/>
                <w:sz w:val="28"/>
                <w:szCs w:val="28"/>
              </w:rPr>
              <w:t>de…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(PQC</w:t>
            </w:r>
            <w:r w:rsidR="00A95E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 a aguardar o dia e hora pa</w:t>
            </w:r>
            <w:r w:rsidR="00A95E7E">
              <w:rPr>
                <w:rFonts w:ascii="Times New Roman" w:hAnsi="Times New Roman" w:cs="Times New Roman"/>
                <w:sz w:val="28"/>
                <w:szCs w:val="28"/>
              </w:rPr>
              <w:t>ra a diligência de ECC, agendada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para...</w:t>
            </w:r>
          </w:p>
        </w:tc>
      </w:tr>
    </w:tbl>
    <w:p w:rsidR="0069359E" w:rsidRPr="00F220DB" w:rsidRDefault="0069359E" w:rsidP="00117359">
      <w:pPr>
        <w:spacing w:after="0"/>
      </w:pPr>
    </w:p>
    <w:sectPr w:rsidR="0069359E" w:rsidRPr="00F220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257A3"/>
    <w:multiLevelType w:val="hybridMultilevel"/>
    <w:tmpl w:val="E1D4268E"/>
    <w:lvl w:ilvl="0" w:tplc="993E64C8">
      <w:start w:val="1"/>
      <w:numFmt w:val="upperLetter"/>
      <w:lvlText w:val="%1)"/>
      <w:lvlJc w:val="left"/>
      <w:pPr>
        <w:ind w:left="1065" w:hanging="360"/>
      </w:pPr>
      <w:rPr>
        <w:rFonts w:hint="default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AAC"/>
    <w:rsid w:val="00020069"/>
    <w:rsid w:val="000D297F"/>
    <w:rsid w:val="000F5F85"/>
    <w:rsid w:val="00117359"/>
    <w:rsid w:val="0015618F"/>
    <w:rsid w:val="00182622"/>
    <w:rsid w:val="001835C6"/>
    <w:rsid w:val="001847A4"/>
    <w:rsid w:val="00197C8E"/>
    <w:rsid w:val="001E7E3D"/>
    <w:rsid w:val="00281A95"/>
    <w:rsid w:val="002836B0"/>
    <w:rsid w:val="002D287E"/>
    <w:rsid w:val="002D7279"/>
    <w:rsid w:val="002D7D47"/>
    <w:rsid w:val="003449E0"/>
    <w:rsid w:val="00351C93"/>
    <w:rsid w:val="0039475F"/>
    <w:rsid w:val="003D6A5B"/>
    <w:rsid w:val="00411479"/>
    <w:rsid w:val="00417AAC"/>
    <w:rsid w:val="00436DD8"/>
    <w:rsid w:val="00487A3B"/>
    <w:rsid w:val="005B73A9"/>
    <w:rsid w:val="00651C18"/>
    <w:rsid w:val="0069359E"/>
    <w:rsid w:val="00695F06"/>
    <w:rsid w:val="006B01B8"/>
    <w:rsid w:val="00704A4F"/>
    <w:rsid w:val="00794E95"/>
    <w:rsid w:val="007E619E"/>
    <w:rsid w:val="00844196"/>
    <w:rsid w:val="008503DF"/>
    <w:rsid w:val="008666C7"/>
    <w:rsid w:val="008A66B7"/>
    <w:rsid w:val="008B1236"/>
    <w:rsid w:val="00934837"/>
    <w:rsid w:val="009A0E07"/>
    <w:rsid w:val="009A228F"/>
    <w:rsid w:val="00A92D18"/>
    <w:rsid w:val="00A95E7E"/>
    <w:rsid w:val="00AB4DA3"/>
    <w:rsid w:val="00B230E7"/>
    <w:rsid w:val="00B75DF1"/>
    <w:rsid w:val="00BB1AEA"/>
    <w:rsid w:val="00C20227"/>
    <w:rsid w:val="00CC03CF"/>
    <w:rsid w:val="00D33578"/>
    <w:rsid w:val="00D4116D"/>
    <w:rsid w:val="00D811BD"/>
    <w:rsid w:val="00DF3619"/>
    <w:rsid w:val="00E21365"/>
    <w:rsid w:val="00E9543A"/>
    <w:rsid w:val="00F060AE"/>
    <w:rsid w:val="00F17387"/>
    <w:rsid w:val="00F220DB"/>
    <w:rsid w:val="00FA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0DB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182622"/>
    <w:rPr>
      <w:color w:val="0000FF"/>
      <w:u w:val="single"/>
    </w:rPr>
  </w:style>
  <w:style w:type="paragraph" w:customStyle="1" w:styleId="Default">
    <w:name w:val="Default"/>
    <w:rsid w:val="00E213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E2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D297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D6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0DB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182622"/>
    <w:rPr>
      <w:color w:val="0000FF"/>
      <w:u w:val="single"/>
    </w:rPr>
  </w:style>
  <w:style w:type="paragraph" w:customStyle="1" w:styleId="Default">
    <w:name w:val="Default"/>
    <w:rsid w:val="00E213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E2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D297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D6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9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i.pt/jtre.%20nsf/134973db04f39bf2802579bf005f080b/1b99997fe9faee88802580fa0058d8b6?OpenDocumen%20%20t~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gsi.pt/jtrc.nsf/-4E18E83BE8004E7280257FDC003842D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i.pt/jtrg.nsf/86c25a698e4e7cb7802579%20ec004%20d3832/2550182ffce379c480257cee003bd973?OpenDocumen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1414</Words>
  <Characters>7638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3</cp:revision>
  <dcterms:created xsi:type="dcterms:W3CDTF">2019-08-19T08:33:00Z</dcterms:created>
  <dcterms:modified xsi:type="dcterms:W3CDTF">2019-08-19T08:33:00Z</dcterms:modified>
</cp:coreProperties>
</file>