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A0E" w:rsidRDefault="006F71C7" w:rsidP="00F674D4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D3A0E">
        <w:rPr>
          <w:rFonts w:ascii="Times New Roman" w:hAnsi="Times New Roman" w:cs="Times New Roman"/>
          <w:sz w:val="26"/>
          <w:szCs w:val="26"/>
        </w:rPr>
        <w:t xml:space="preserve">DECISÃO DO AE &gt; </w:t>
      </w:r>
      <w:r w:rsidR="00772CC0">
        <w:rPr>
          <w:rFonts w:ascii="Times New Roman" w:hAnsi="Times New Roman" w:cs="Times New Roman"/>
          <w:sz w:val="26"/>
          <w:szCs w:val="26"/>
        </w:rPr>
        <w:t xml:space="preserve">Outra </w:t>
      </w:r>
      <w:r w:rsidR="000D3A0E">
        <w:rPr>
          <w:rFonts w:ascii="Times New Roman" w:hAnsi="Times New Roman" w:cs="Times New Roman"/>
          <w:sz w:val="26"/>
          <w:szCs w:val="26"/>
        </w:rPr>
        <w:t xml:space="preserve">&gt; criar modelo: </w:t>
      </w:r>
    </w:p>
    <w:p w:rsidR="000D3A0E" w:rsidRDefault="000D3A0E" w:rsidP="00F674D4">
      <w:pPr>
        <w:pBdr>
          <w:bottom w:val="single" w:sz="12" w:space="1" w:color="auto"/>
        </w:pBd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decisão inicial</w:t>
      </w:r>
    </w:p>
    <w:p w:rsidR="00C038F9" w:rsidRDefault="00C038F9" w:rsidP="00F674D4">
      <w:pPr>
        <w:pBdr>
          <w:bottom w:val="single" w:sz="12" w:space="1" w:color="auto"/>
        </w:pBd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C038F9" w:rsidRDefault="00C038F9" w:rsidP="00F674D4">
      <w:pPr>
        <w:pBdr>
          <w:bottom w:val="single" w:sz="12" w:space="1" w:color="auto"/>
        </w:pBd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C038F9" w:rsidRDefault="00C038F9" w:rsidP="00F674D4">
      <w:pPr>
        <w:tabs>
          <w:tab w:val="left" w:pos="5103"/>
        </w:tabs>
        <w:spacing w:after="0"/>
        <w:ind w:right="567"/>
        <w:rPr>
          <w:rFonts w:ascii="Times New Roman" w:hAnsi="Times New Roman" w:cs="Times New Roman"/>
          <w:sz w:val="26"/>
          <w:szCs w:val="26"/>
        </w:rPr>
      </w:pPr>
    </w:p>
    <w:p w:rsidR="006A526D" w:rsidRPr="0026361F" w:rsidRDefault="006A526D" w:rsidP="00F674D4">
      <w:pPr>
        <w:tabs>
          <w:tab w:val="left" w:pos="5103"/>
        </w:tabs>
        <w:spacing w:after="0"/>
        <w:ind w:right="567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6361F">
        <w:rPr>
          <w:rFonts w:ascii="Times New Roman" w:hAnsi="Times New Roman" w:cs="Times New Roman"/>
          <w:b/>
          <w:sz w:val="26"/>
          <w:szCs w:val="26"/>
          <w:u w:val="single"/>
        </w:rPr>
        <w:t>ACEITAÇÃO DO REQUERIMENTO EXECUTIVO</w:t>
      </w:r>
    </w:p>
    <w:p w:rsidR="006A526D" w:rsidRPr="0026361F" w:rsidRDefault="006A526D" w:rsidP="00F674D4">
      <w:pPr>
        <w:tabs>
          <w:tab w:val="left" w:pos="5103"/>
        </w:tabs>
        <w:spacing w:after="0"/>
        <w:ind w:right="567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6361F">
        <w:rPr>
          <w:rFonts w:ascii="Times New Roman" w:hAnsi="Times New Roman" w:cs="Times New Roman"/>
          <w:b/>
          <w:sz w:val="26"/>
          <w:szCs w:val="26"/>
          <w:u w:val="single"/>
        </w:rPr>
        <w:t>E NÃO ACEITAÇÃO DOS BENS NOMEADOS À PENHORA</w:t>
      </w:r>
    </w:p>
    <w:p w:rsidR="006A526D" w:rsidRPr="0026361F" w:rsidRDefault="006A526D" w:rsidP="00F674D4">
      <w:pPr>
        <w:tabs>
          <w:tab w:val="left" w:pos="5103"/>
        </w:tabs>
        <w:spacing w:after="0"/>
        <w:ind w:right="567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063B6D" w:rsidRPr="0026361F" w:rsidRDefault="00063B6D" w:rsidP="00F674D4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6361F">
        <w:rPr>
          <w:rFonts w:ascii="Times New Roman" w:hAnsi="Times New Roman" w:cs="Times New Roman"/>
          <w:sz w:val="26"/>
          <w:szCs w:val="26"/>
        </w:rPr>
        <w:t xml:space="preserve">O atual Código do Processo Civil, no n.º 1 do seu art.º 719.º vem estipular que as competências, em processo executivo, encontram-se repartidas entre o juiz, a secretaria e o agente de execução e a este cabe </w:t>
      </w:r>
      <w:r w:rsidRPr="0026361F">
        <w:rPr>
          <w:rFonts w:ascii="Times New Roman" w:hAnsi="Times New Roman" w:cs="Times New Roman"/>
          <w:i/>
          <w:sz w:val="26"/>
          <w:szCs w:val="26"/>
        </w:rPr>
        <w:t xml:space="preserve">“(…) efetuar todas as diligências do processo executivo que não estejam atribuídas à secretaria ou sejam da competência do juiz (…). </w:t>
      </w:r>
    </w:p>
    <w:p w:rsidR="00063B6D" w:rsidRPr="0026361F" w:rsidRDefault="00063B6D" w:rsidP="00F674D4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063B6D" w:rsidRPr="0026361F" w:rsidRDefault="00063B6D" w:rsidP="00F674D4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 w:rsidRPr="0026361F">
        <w:rPr>
          <w:rFonts w:ascii="Times New Roman" w:hAnsi="Times New Roman" w:cs="Times New Roman"/>
          <w:sz w:val="26"/>
          <w:szCs w:val="26"/>
        </w:rPr>
        <w:t xml:space="preserve">Na “Exposição de Motivos” da Proposta de Lei n.º 113/XII, tendo em vista a criação do atual Código do Processo Civil, o legislador não deixou qualquer dúvida acerca da sua posição, quanto às competências repartidas entre juiz, secretaria e agente de execução: </w:t>
      </w:r>
      <w:r w:rsidRPr="0026361F">
        <w:rPr>
          <w:rFonts w:ascii="Times New Roman" w:hAnsi="Times New Roman" w:cs="Times New Roman"/>
          <w:i/>
          <w:sz w:val="26"/>
          <w:szCs w:val="26"/>
        </w:rPr>
        <w:t xml:space="preserve">“Cuida-se da clara repartição de competências entre o juiz, a secretaria e o agente de execução, estabelecendo-se que a este cabe efetuar </w:t>
      </w:r>
      <w:r w:rsidRPr="0026361F">
        <w:rPr>
          <w:rFonts w:ascii="Times New Roman" w:hAnsi="Times New Roman" w:cs="Times New Roman"/>
          <w:i/>
          <w:sz w:val="26"/>
          <w:szCs w:val="26"/>
          <w:u w:val="single"/>
        </w:rPr>
        <w:t>todas</w:t>
      </w:r>
      <w:r w:rsidRPr="0026361F">
        <w:rPr>
          <w:rFonts w:ascii="Times New Roman" w:hAnsi="Times New Roman" w:cs="Times New Roman"/>
          <w:sz w:val="26"/>
          <w:szCs w:val="26"/>
        </w:rPr>
        <w:t xml:space="preserve"> </w:t>
      </w:r>
      <w:r w:rsidRPr="0026361F">
        <w:rPr>
          <w:rFonts w:ascii="Times New Roman" w:hAnsi="Times New Roman" w:cs="Times New Roman"/>
          <w:i/>
          <w:sz w:val="26"/>
          <w:szCs w:val="26"/>
        </w:rPr>
        <w:t xml:space="preserve">as diligências do processo executivo que não estejam atribuídas à secretaria ou sejam da competência do juiz.” </w:t>
      </w:r>
      <w:r w:rsidRPr="0026361F">
        <w:rPr>
          <w:rFonts w:ascii="Times New Roman" w:hAnsi="Times New Roman" w:cs="Times New Roman"/>
          <w:sz w:val="26"/>
          <w:szCs w:val="26"/>
        </w:rPr>
        <w:t xml:space="preserve">(sublinhado nosso). A palavra “todas”, já anteriormente mencionada na lei, não tem dois significados possíveis: se a lei não disser que a competência é da secretaria ou do juiz, então é do agente de execução. E acrescenta: </w:t>
      </w:r>
      <w:r w:rsidRPr="0026361F">
        <w:rPr>
          <w:rFonts w:ascii="Times New Roman" w:hAnsi="Times New Roman" w:cs="Times New Roman"/>
          <w:i/>
          <w:sz w:val="26"/>
          <w:szCs w:val="26"/>
        </w:rPr>
        <w:t xml:space="preserve">“É de esperar que, </w:t>
      </w:r>
      <w:r w:rsidRPr="0026361F">
        <w:rPr>
          <w:rFonts w:ascii="Times New Roman" w:hAnsi="Times New Roman" w:cs="Times New Roman"/>
          <w:i/>
          <w:sz w:val="26"/>
          <w:szCs w:val="26"/>
          <w:u w:val="single"/>
        </w:rPr>
        <w:t>em definitivo</w:t>
      </w:r>
      <w:r w:rsidRPr="0026361F">
        <w:rPr>
          <w:rFonts w:ascii="Times New Roman" w:hAnsi="Times New Roman" w:cs="Times New Roman"/>
          <w:i/>
          <w:sz w:val="26"/>
          <w:szCs w:val="26"/>
        </w:rPr>
        <w:t xml:space="preserve">, os intervenientes processuais assumam e observem a repartição de competências fixada na lei, por forma a evitar intervenções ou </w:t>
      </w:r>
      <w:proofErr w:type="spellStart"/>
      <w:r w:rsidRPr="0026361F">
        <w:rPr>
          <w:rFonts w:ascii="Times New Roman" w:hAnsi="Times New Roman" w:cs="Times New Roman"/>
          <w:i/>
          <w:sz w:val="26"/>
          <w:szCs w:val="26"/>
        </w:rPr>
        <w:t>actos</w:t>
      </w:r>
      <w:proofErr w:type="spellEnd"/>
      <w:r w:rsidRPr="0026361F">
        <w:rPr>
          <w:rFonts w:ascii="Times New Roman" w:hAnsi="Times New Roman" w:cs="Times New Roman"/>
          <w:i/>
          <w:sz w:val="26"/>
          <w:szCs w:val="26"/>
        </w:rPr>
        <w:t xml:space="preserve"> desnecessários, gerando perdas de tempo numa tramitação que se quer célere e eficiente.” </w:t>
      </w:r>
      <w:r w:rsidRPr="0026361F">
        <w:rPr>
          <w:rFonts w:ascii="Times New Roman" w:hAnsi="Times New Roman" w:cs="Times New Roman"/>
          <w:sz w:val="26"/>
          <w:szCs w:val="26"/>
        </w:rPr>
        <w:t>(sublinhado nosso). Aqui, “em definitivo” o legislador ordena que se cumpra a sua vontade sem discussão.</w:t>
      </w:r>
    </w:p>
    <w:p w:rsidR="00063B6D" w:rsidRPr="0026361F" w:rsidRDefault="00063B6D" w:rsidP="00F674D4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063B6D" w:rsidRPr="0026361F" w:rsidRDefault="00063B6D" w:rsidP="00F674D4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 w:rsidRPr="0026361F">
        <w:rPr>
          <w:rFonts w:ascii="Times New Roman" w:hAnsi="Times New Roman" w:cs="Times New Roman"/>
          <w:sz w:val="26"/>
          <w:szCs w:val="26"/>
        </w:rPr>
        <w:t xml:space="preserve">Nesse sentido </w:t>
      </w:r>
      <w:r w:rsidRPr="0026361F">
        <w:rPr>
          <w:rFonts w:ascii="Times New Roman" w:hAnsi="Times New Roman" w:cs="Times New Roman"/>
          <w:sz w:val="26"/>
          <w:szCs w:val="26"/>
          <w:shd w:val="clear" w:color="auto" w:fill="FFFFFF"/>
        </w:rPr>
        <w:t>decisões de tribunais superiores:</w:t>
      </w:r>
      <w:r w:rsidRPr="0026361F">
        <w:rPr>
          <w:rFonts w:ascii="Times New Roman" w:hAnsi="Times New Roman" w:cs="Times New Roman"/>
          <w:sz w:val="26"/>
          <w:szCs w:val="26"/>
        </w:rPr>
        <w:t xml:space="preserve"> - Acórdão de 15-05-2014, Proc.º n.º 5523/13.9T BBRG.G1, do Tribunal da Relação de Guimarães, disponível em </w:t>
      </w:r>
      <w:hyperlink r:id="rId7" w:history="1">
        <w:r w:rsidRPr="0026361F">
          <w:rPr>
            <w:rStyle w:val="Hiperligao"/>
            <w:rFonts w:ascii="Times New Roman" w:hAnsi="Times New Roman" w:cs="Times New Roman"/>
            <w:sz w:val="26"/>
            <w:szCs w:val="26"/>
            <w:shd w:val="clear" w:color="auto" w:fill="FFFFFF"/>
          </w:rPr>
          <w:t>http://www.dgsi.pt/jtrg.nsf/86c25a698e4e7cb7802579 ec004 d3832/2550182ffce379c480257cee003bd973?OpenDocument</w:t>
        </w:r>
      </w:hyperlink>
      <w:r w:rsidRPr="0026361F">
        <w:rPr>
          <w:rFonts w:ascii="Times New Roman" w:hAnsi="Times New Roman" w:cs="Times New Roman"/>
          <w:sz w:val="26"/>
          <w:szCs w:val="26"/>
          <w:shd w:val="clear" w:color="auto" w:fill="FFFFFF"/>
        </w:rPr>
        <w:t>:</w:t>
      </w:r>
      <w:r w:rsidRPr="0026361F">
        <w:rPr>
          <w:rStyle w:val="Hiperligao"/>
          <w:rFonts w:ascii="Times New Roman" w:hAnsi="Times New Roman" w:cs="Times New Roman"/>
          <w:sz w:val="26"/>
          <w:szCs w:val="26"/>
          <w:shd w:val="clear" w:color="auto" w:fill="FFFFFF"/>
        </w:rPr>
        <w:t>“</w:t>
      </w:r>
      <w:r w:rsidRPr="0026361F">
        <w:rPr>
          <w:rFonts w:ascii="Times New Roman" w:hAnsi="Times New Roman" w:cs="Times New Roman"/>
          <w:i/>
          <w:sz w:val="26"/>
          <w:szCs w:val="26"/>
        </w:rPr>
        <w:t>II.FUNDAMENTAÇÃO Apuradas as situações que determinem a extinção da execução</w:t>
      </w:r>
      <w:proofErr w:type="gramStart"/>
      <w:r w:rsidRPr="0026361F">
        <w:rPr>
          <w:rFonts w:ascii="Times New Roman" w:hAnsi="Times New Roman" w:cs="Times New Roman"/>
          <w:i/>
          <w:sz w:val="26"/>
          <w:szCs w:val="26"/>
        </w:rPr>
        <w:t>,</w:t>
      </w:r>
      <w:proofErr w:type="gramEnd"/>
      <w:r w:rsidRPr="0026361F">
        <w:rPr>
          <w:rFonts w:ascii="Times New Roman" w:hAnsi="Times New Roman" w:cs="Times New Roman"/>
          <w:i/>
          <w:sz w:val="26"/>
          <w:szCs w:val="26"/>
        </w:rPr>
        <w:t xml:space="preserve"> importa saber a quem compete declarar a extinção da execução, se ao agente de execução ou, antes ao juiz. A este propósito importa ter em conta que por força do disposto no nº 1 do artigo 723º do NCPC, se estabelece que sem prejuízo de outras intervenções que a lei </w:t>
      </w:r>
      <w:r w:rsidRPr="0026361F">
        <w:rPr>
          <w:rFonts w:ascii="Times New Roman" w:hAnsi="Times New Roman" w:cs="Times New Roman"/>
          <w:i/>
          <w:sz w:val="26"/>
          <w:szCs w:val="26"/>
        </w:rPr>
        <w:lastRenderedPageBreak/>
        <w:t xml:space="preserve">especificamente lhe atribui, compete ao juiz (…). Por sua vez, </w:t>
      </w:r>
      <w:r w:rsidRPr="0026361F">
        <w:rPr>
          <w:rFonts w:ascii="Times New Roman" w:hAnsi="Times New Roman" w:cs="Times New Roman"/>
          <w:i/>
          <w:sz w:val="26"/>
          <w:szCs w:val="26"/>
          <w:u w:val="single"/>
        </w:rPr>
        <w:t>a competência do agente de execução é residual,</w:t>
      </w:r>
      <w:r w:rsidRPr="0026361F">
        <w:rPr>
          <w:rFonts w:ascii="Times New Roman" w:hAnsi="Times New Roman" w:cs="Times New Roman"/>
          <w:i/>
          <w:sz w:val="26"/>
          <w:szCs w:val="26"/>
        </w:rPr>
        <w:t xml:space="preserve"> dado que lhe compete efetuar todas as diligências do processo executivo que não estejam atribuídas à secretaria ou sejam da competência do juiz (…).”. </w:t>
      </w:r>
      <w:proofErr w:type="gramStart"/>
      <w:r w:rsidRPr="0026361F">
        <w:rPr>
          <w:rFonts w:ascii="Times New Roman" w:hAnsi="Times New Roman" w:cs="Times New Roman"/>
          <w:i/>
          <w:sz w:val="26"/>
          <w:szCs w:val="26"/>
        </w:rPr>
        <w:t>(</w:t>
      </w:r>
      <w:r w:rsidRPr="0026361F">
        <w:rPr>
          <w:rFonts w:ascii="Times New Roman" w:hAnsi="Times New Roman" w:cs="Times New Roman"/>
          <w:sz w:val="26"/>
          <w:szCs w:val="26"/>
        </w:rPr>
        <w:t>sublinhados  nossos</w:t>
      </w:r>
      <w:proofErr w:type="gramEnd"/>
      <w:r w:rsidRPr="0026361F">
        <w:rPr>
          <w:rFonts w:ascii="Times New Roman" w:hAnsi="Times New Roman" w:cs="Times New Roman"/>
          <w:sz w:val="26"/>
          <w:szCs w:val="26"/>
        </w:rPr>
        <w:t>);</w:t>
      </w:r>
    </w:p>
    <w:p w:rsidR="00063B6D" w:rsidRPr="0026361F" w:rsidRDefault="00063B6D" w:rsidP="00F674D4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26361F">
        <w:rPr>
          <w:rFonts w:ascii="Times New Roman" w:hAnsi="Times New Roman" w:cs="Times New Roman"/>
          <w:sz w:val="26"/>
          <w:szCs w:val="26"/>
        </w:rPr>
        <w:t xml:space="preserve">- Acórdão de 07-06-2016, Proc.º n.º 302/13.6 TBLSA.C, do Tribunal da Relação de Coimbra, disponível em </w:t>
      </w:r>
      <w:hyperlink r:id="rId8" w:history="1">
        <w:r w:rsidRPr="0026361F">
          <w:rPr>
            <w:rStyle w:val="Hiperligao"/>
            <w:rFonts w:ascii="Times New Roman" w:hAnsi="Times New Roman" w:cs="Times New Roman"/>
            <w:bCs/>
            <w:sz w:val="26"/>
            <w:szCs w:val="26"/>
            <w:shd w:val="clear" w:color="auto" w:fill="FFFFFF"/>
          </w:rPr>
          <w:t>http://www.dgsi.pt/jtrc.nsf/-4E18E83BE8004E7280257FDC003842D9</w:t>
        </w:r>
      </w:hyperlink>
      <w:r w:rsidRPr="0026361F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: </w:t>
      </w:r>
      <w:r w:rsidRPr="0026361F">
        <w:rPr>
          <w:rFonts w:ascii="Times New Roman" w:hAnsi="Times New Roman" w:cs="Times New Roman"/>
          <w:bCs/>
          <w:i/>
          <w:sz w:val="26"/>
          <w:szCs w:val="26"/>
          <w:shd w:val="clear" w:color="auto" w:fill="FFFFFF"/>
        </w:rPr>
        <w:t xml:space="preserve">”II– APRECIAÇÃO DO OBJECTO DO RECURSO </w:t>
      </w:r>
      <w:r w:rsidRPr="0026361F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Face ao modo como se encontra configurada a execução face ao novo regime da ação executiva iniciado com a publicação do DL. 38/2003, de 08.03, é ao agente de execução que se encontra atribuída a competência para a prática de </w:t>
      </w:r>
      <w:r w:rsidRPr="0026361F">
        <w:rPr>
          <w:rFonts w:ascii="Times New Roman" w:hAnsi="Times New Roman" w:cs="Times New Roman"/>
          <w:i/>
          <w:iCs/>
          <w:sz w:val="26"/>
          <w:szCs w:val="26"/>
          <w:u w:val="single"/>
          <w:shd w:val="clear" w:color="auto" w:fill="FFFFFF"/>
        </w:rPr>
        <w:t>todas as diligências do processo executivo</w:t>
      </w:r>
      <w:r w:rsidRPr="0026361F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 </w:t>
      </w:r>
      <w:r w:rsidRPr="0026361F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(artigo 719º CCPC), </w:t>
      </w:r>
      <w:r w:rsidRPr="0026361F"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o </w:t>
      </w:r>
      <w:r w:rsidRPr="0026361F">
        <w:rPr>
          <w:rFonts w:ascii="Times New Roman" w:hAnsi="Times New Roman" w:cs="Times New Roman"/>
          <w:i/>
          <w:iCs/>
          <w:sz w:val="26"/>
          <w:szCs w:val="26"/>
          <w:u w:val="single"/>
          <w:shd w:val="clear" w:color="auto" w:fill="FFFFFF"/>
        </w:rPr>
        <w:t>impulso e a gestão corrente</w:t>
      </w:r>
      <w:r w:rsidRPr="0026361F"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 do processo executivo</w:t>
      </w:r>
      <w:r w:rsidRPr="0026361F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e ainda </w:t>
      </w:r>
      <w:r w:rsidRPr="0026361F"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o </w:t>
      </w:r>
      <w:r w:rsidRPr="0026361F">
        <w:rPr>
          <w:rFonts w:ascii="Times New Roman" w:hAnsi="Times New Roman" w:cs="Times New Roman"/>
          <w:i/>
          <w:iCs/>
          <w:sz w:val="26"/>
          <w:szCs w:val="26"/>
          <w:u w:val="single"/>
          <w:shd w:val="clear" w:color="auto" w:fill="FFFFFF"/>
        </w:rPr>
        <w:t>poder de geral direção da ação executiva</w:t>
      </w:r>
      <w:r w:rsidRPr="0026361F">
        <w:rPr>
          <w:rFonts w:ascii="Times New Roman" w:hAnsi="Times New Roman" w:cs="Times New Roman"/>
          <w:b/>
          <w:bCs/>
          <w:i/>
          <w:iCs/>
          <w:sz w:val="26"/>
          <w:szCs w:val="26"/>
          <w:u w:val="single"/>
          <w:shd w:val="clear" w:color="auto" w:fill="FFFFFF"/>
          <w:vertAlign w:val="superscript"/>
        </w:rPr>
        <w:t xml:space="preserve"> </w:t>
      </w:r>
      <w:r w:rsidRPr="0026361F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(artigo 719º) – com o significado de que </w:t>
      </w:r>
      <w:r w:rsidRPr="0026361F"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«a este cumpre decidir em cada momento qual o ato a praticar, qual a diligência a efetuar, se deve ou não ouvir o exequente e o executado, se deve aguardar a resposta de uma entidade pública ou o resultado de uma venda.»”</w:t>
      </w:r>
      <w:r w:rsidRPr="002636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(sublinhados nossos); </w:t>
      </w:r>
    </w:p>
    <w:p w:rsidR="00063B6D" w:rsidRPr="0026361F" w:rsidRDefault="00063B6D" w:rsidP="00F674D4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2636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- Acórdão de 23-03-2017, Proc.º n.º 3133/07.9TJLSB.1.E, do Tribunal da Relação de Évora, disponível em </w:t>
      </w:r>
      <w:hyperlink r:id="rId9" w:history="1">
        <w:r w:rsidRPr="0026361F">
          <w:rPr>
            <w:rStyle w:val="Hiperligao"/>
            <w:rFonts w:ascii="Times New Roman" w:hAnsi="Times New Roman" w:cs="Times New Roman"/>
            <w:sz w:val="26"/>
            <w:szCs w:val="26"/>
          </w:rPr>
          <w:t>http://www.dgsi.pt/jtre. nsf/134973db04f39bf2802579bf005f080b/1b99997fe9faee88802580fa0058d8b6?OpenDocumen  t~</w:t>
        </w:r>
      </w:hyperlink>
      <w:r w:rsidRPr="0026361F">
        <w:rPr>
          <w:rFonts w:ascii="Times New Roman" w:hAnsi="Times New Roman" w:cs="Times New Roman"/>
          <w:sz w:val="26"/>
          <w:szCs w:val="26"/>
        </w:rPr>
        <w:t>: ”</w:t>
      </w:r>
      <w:r w:rsidRPr="0026361F">
        <w:rPr>
          <w:rFonts w:ascii="Times New Roman" w:hAnsi="Times New Roman" w:cs="Times New Roman"/>
          <w:b/>
          <w:bCs/>
          <w:i/>
          <w:sz w:val="26"/>
          <w:szCs w:val="26"/>
          <w:shd w:val="clear" w:color="auto" w:fill="FFFFFF"/>
        </w:rPr>
        <w:t xml:space="preserve">III. 3. Síntese conclusiva: </w:t>
      </w:r>
      <w:r w:rsidRPr="0026361F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II – (…) o estatuído nos artigos 719.º e 723.º do CPC, que regem </w:t>
      </w:r>
      <w:proofErr w:type="spellStart"/>
      <w:r w:rsidRPr="0026361F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respectivamente</w:t>
      </w:r>
      <w:proofErr w:type="spellEnd"/>
      <w:r w:rsidRPr="0026361F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quanto à repartição de competências entre o agente de execução, a secretaria e o juiz, a competência para declarar (…), </w:t>
      </w:r>
      <w:r w:rsidRPr="0026361F"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está primeiramente cometida ao agente de execução</w:t>
      </w:r>
      <w:r w:rsidRPr="0026361F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, salvo se </w:t>
      </w:r>
      <w:r w:rsidRPr="0026361F"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tiver sido suscitada ao juiz</w:t>
      </w:r>
      <w:r w:rsidRPr="0026361F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pelo agente de execução ou pelas partes (alínea d) do artigo 723.º do CPC).”</w:t>
      </w:r>
      <w:r w:rsidRPr="002636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(sublinhados nossos).</w:t>
      </w:r>
    </w:p>
    <w:p w:rsidR="00063B6D" w:rsidRPr="0026361F" w:rsidRDefault="00063B6D" w:rsidP="00F674D4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063B6D" w:rsidRPr="0026361F" w:rsidRDefault="00063B6D" w:rsidP="00F674D4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 w:rsidRPr="0026361F">
        <w:rPr>
          <w:rFonts w:ascii="Times New Roman" w:hAnsi="Times New Roman" w:cs="Times New Roman"/>
          <w:sz w:val="26"/>
          <w:szCs w:val="26"/>
        </w:rPr>
        <w:t xml:space="preserve">Como não existe uma atribuição própria da secretaria estabelecida nos n.ºs 3 e 4 do mesmo art.º 719.º, nem uma competência genérica definida nas alíneas do n.º 1 do art.º 723.º do CPC ou uma “intervenção” prevista no corpo desse mesmo n.º 1 para decidir a rejeição e o recebimento do requerimento executivo em processo </w:t>
      </w:r>
      <w:r w:rsidR="00337D34">
        <w:rPr>
          <w:rFonts w:ascii="Times New Roman" w:hAnsi="Times New Roman" w:cs="Times New Roman"/>
          <w:sz w:val="26"/>
          <w:szCs w:val="26"/>
        </w:rPr>
        <w:t>sumário</w:t>
      </w:r>
      <w:r w:rsidRPr="0026361F">
        <w:rPr>
          <w:rFonts w:ascii="Times New Roman" w:hAnsi="Times New Roman" w:cs="Times New Roman"/>
          <w:sz w:val="26"/>
          <w:szCs w:val="26"/>
        </w:rPr>
        <w:t>, esta competência, por exclusão de partes e pela aplicação daqueles normativos, é do agente de execução, pelo que, cumprindo a lei e a vontade do legislador e com o suporte da jurisprudência, cumpre ao agente de execução decidir.</w:t>
      </w:r>
    </w:p>
    <w:p w:rsidR="00063B6D" w:rsidRPr="0026361F" w:rsidRDefault="00063B6D" w:rsidP="00F674D4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2E1BF4" w:rsidRPr="0026361F" w:rsidRDefault="00063B6D" w:rsidP="00F674D4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 w:rsidRPr="0026361F">
        <w:rPr>
          <w:rFonts w:ascii="Times New Roman" w:hAnsi="Times New Roman" w:cs="Times New Roman"/>
          <w:sz w:val="26"/>
          <w:szCs w:val="26"/>
        </w:rPr>
        <w:t xml:space="preserve">Neste processo o requerimento executivo cumpre os requisitos do n.º 1 do art.º 724.º do CPC. A decisão judicial condenatória que serve de base à </w:t>
      </w:r>
      <w:r w:rsidRPr="0026361F">
        <w:rPr>
          <w:rFonts w:ascii="Times New Roman" w:hAnsi="Times New Roman" w:cs="Times New Roman"/>
          <w:sz w:val="26"/>
          <w:szCs w:val="26"/>
        </w:rPr>
        <w:lastRenderedPageBreak/>
        <w:t xml:space="preserve">execução é título executivo nos termos da alínea a) do n.º 1 do art.º 703.º do CPC. </w:t>
      </w:r>
      <w:r w:rsidR="00E1677B">
        <w:rPr>
          <w:rFonts w:ascii="Times New Roman" w:hAnsi="Times New Roman" w:cs="Times New Roman"/>
          <w:sz w:val="26"/>
          <w:szCs w:val="26"/>
        </w:rPr>
        <w:t>O processo é</w:t>
      </w:r>
      <w:r w:rsidRPr="0026361F">
        <w:rPr>
          <w:rFonts w:ascii="Times New Roman" w:hAnsi="Times New Roman" w:cs="Times New Roman"/>
          <w:sz w:val="26"/>
          <w:szCs w:val="26"/>
        </w:rPr>
        <w:t xml:space="preserve"> de execução de sentença nos próprios atos, </w:t>
      </w:r>
      <w:r w:rsidR="002E1BF4" w:rsidRPr="0026361F">
        <w:rPr>
          <w:rFonts w:ascii="Times New Roman" w:hAnsi="Times New Roman" w:cs="Times New Roman"/>
          <w:sz w:val="26"/>
          <w:szCs w:val="26"/>
        </w:rPr>
        <w:t xml:space="preserve">pelo que, nos termos do n.º 2 do art.º 626.º do CPC, segue a tramitação prevista para a forma sumária. </w:t>
      </w:r>
    </w:p>
    <w:p w:rsidR="00063B6D" w:rsidRPr="0026361F" w:rsidRDefault="00063B6D" w:rsidP="00F674D4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063B6D" w:rsidRPr="0026361F" w:rsidRDefault="00063B6D" w:rsidP="00F674D4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 w:rsidRPr="0026361F">
        <w:rPr>
          <w:rFonts w:ascii="Times New Roman" w:hAnsi="Times New Roman" w:cs="Times New Roman"/>
          <w:sz w:val="26"/>
          <w:szCs w:val="26"/>
        </w:rPr>
        <w:t xml:space="preserve">Seguindo a forma sumária, nos termos do n.º 3 do art.º 855.º do CPC, decide-se aceitar o requerimento executivo. </w:t>
      </w:r>
    </w:p>
    <w:p w:rsidR="00063B6D" w:rsidRPr="0026361F" w:rsidRDefault="00063B6D" w:rsidP="00F674D4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063B6D" w:rsidRPr="0026361F" w:rsidRDefault="00063B6D" w:rsidP="00F674D4">
      <w:pPr>
        <w:spacing w:after="0"/>
        <w:ind w:right="566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6361F">
        <w:rPr>
          <w:rFonts w:ascii="Times New Roman" w:hAnsi="Times New Roman" w:cs="Times New Roman"/>
          <w:sz w:val="26"/>
          <w:szCs w:val="26"/>
        </w:rPr>
        <w:t>O(A</w:t>
      </w:r>
      <w:proofErr w:type="gramEnd"/>
      <w:r w:rsidRPr="0026361F">
        <w:rPr>
          <w:rFonts w:ascii="Times New Roman" w:hAnsi="Times New Roman" w:cs="Times New Roman"/>
          <w:sz w:val="26"/>
          <w:szCs w:val="26"/>
        </w:rPr>
        <w:t xml:space="preserve">) exequente veio nomear à penhora… A quantia exequenda é de €…, o valor presumível do bem nomeado à penhora é de €…, que, embora não viole lei imperativa, ofende claramente o princípio da proporcionalidade, tal como previsto no n.º 2 do art.º 751.º do CPC, pelo que decide-se não penhorar </w:t>
      </w:r>
      <w:proofErr w:type="gramStart"/>
      <w:r w:rsidRPr="0026361F">
        <w:rPr>
          <w:rFonts w:ascii="Times New Roman" w:hAnsi="Times New Roman" w:cs="Times New Roman"/>
          <w:sz w:val="26"/>
          <w:szCs w:val="26"/>
        </w:rPr>
        <w:t>o</w:t>
      </w:r>
      <w:r w:rsidR="00E1677B">
        <w:rPr>
          <w:rFonts w:ascii="Times New Roman" w:hAnsi="Times New Roman" w:cs="Times New Roman"/>
          <w:sz w:val="26"/>
          <w:szCs w:val="26"/>
        </w:rPr>
        <w:t>(s</w:t>
      </w:r>
      <w:proofErr w:type="gramEnd"/>
      <w:r w:rsidR="00E1677B">
        <w:rPr>
          <w:rFonts w:ascii="Times New Roman" w:hAnsi="Times New Roman" w:cs="Times New Roman"/>
          <w:sz w:val="26"/>
          <w:szCs w:val="26"/>
        </w:rPr>
        <w:t>)</w:t>
      </w:r>
      <w:r w:rsidRPr="0026361F">
        <w:rPr>
          <w:rFonts w:ascii="Times New Roman" w:hAnsi="Times New Roman" w:cs="Times New Roman"/>
          <w:sz w:val="26"/>
          <w:szCs w:val="26"/>
        </w:rPr>
        <w:t xml:space="preserve"> referido</w:t>
      </w:r>
      <w:r w:rsidR="00E1677B">
        <w:rPr>
          <w:rFonts w:ascii="Times New Roman" w:hAnsi="Times New Roman" w:cs="Times New Roman"/>
          <w:sz w:val="26"/>
          <w:szCs w:val="26"/>
        </w:rPr>
        <w:t>(s)</w:t>
      </w:r>
      <w:r w:rsidRPr="0026361F">
        <w:rPr>
          <w:rFonts w:ascii="Times New Roman" w:hAnsi="Times New Roman" w:cs="Times New Roman"/>
          <w:sz w:val="26"/>
          <w:szCs w:val="26"/>
        </w:rPr>
        <w:t xml:space="preserve"> bem</w:t>
      </w:r>
      <w:r w:rsidR="00E1677B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="00E1677B">
        <w:rPr>
          <w:rFonts w:ascii="Times New Roman" w:hAnsi="Times New Roman" w:cs="Times New Roman"/>
          <w:sz w:val="26"/>
          <w:szCs w:val="26"/>
        </w:rPr>
        <w:t>ns</w:t>
      </w:r>
      <w:proofErr w:type="spellEnd"/>
      <w:r w:rsidR="00E1677B">
        <w:rPr>
          <w:rFonts w:ascii="Times New Roman" w:hAnsi="Times New Roman" w:cs="Times New Roman"/>
          <w:sz w:val="26"/>
          <w:szCs w:val="26"/>
        </w:rPr>
        <w:t>)</w:t>
      </w:r>
      <w:r w:rsidRPr="0026361F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063B6D" w:rsidRPr="0026361F" w:rsidRDefault="00063B6D" w:rsidP="00F674D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63B6D" w:rsidRDefault="0026361F" w:rsidP="00F674D4">
      <w:pPr>
        <w:spacing w:after="0"/>
        <w:ind w:right="566"/>
        <w:jc w:val="both"/>
        <w:rPr>
          <w:rFonts w:ascii="Times New Roman" w:hAnsi="Times New Roman" w:cs="Times New Roman"/>
          <w:sz w:val="26"/>
          <w:szCs w:val="26"/>
        </w:rPr>
      </w:pPr>
      <w:r w:rsidRPr="0026361F">
        <w:rPr>
          <w:rFonts w:ascii="Times New Roman" w:hAnsi="Times New Roman" w:cs="Times New Roman"/>
          <w:sz w:val="26"/>
          <w:szCs w:val="26"/>
        </w:rPr>
        <w:t>Assente</w:t>
      </w:r>
      <w:r w:rsidR="00063B6D" w:rsidRPr="0026361F">
        <w:rPr>
          <w:rFonts w:ascii="Times New Roman" w:hAnsi="Times New Roman" w:cs="Times New Roman"/>
          <w:sz w:val="26"/>
          <w:szCs w:val="26"/>
        </w:rPr>
        <w:t xml:space="preserve"> o indeferimento da nomeação de bens à penhora, em sua substituição, nos termos do n.º 3 do art.º 855.º do CPC, decide-se iniciar as consultas e diligências prévias à penhora, antes da citação </w:t>
      </w:r>
      <w:proofErr w:type="gramStart"/>
      <w:r w:rsidR="00063B6D" w:rsidRPr="0026361F">
        <w:rPr>
          <w:rFonts w:ascii="Times New Roman" w:hAnsi="Times New Roman" w:cs="Times New Roman"/>
          <w:sz w:val="26"/>
          <w:szCs w:val="26"/>
        </w:rPr>
        <w:t>do</w:t>
      </w:r>
      <w:r w:rsidR="00400EC8" w:rsidRPr="0026361F">
        <w:rPr>
          <w:rFonts w:ascii="Times New Roman" w:hAnsi="Times New Roman" w:cs="Times New Roman"/>
          <w:sz w:val="26"/>
          <w:szCs w:val="26"/>
        </w:rPr>
        <w:t>(a)</w:t>
      </w:r>
      <w:r w:rsidR="00E1677B">
        <w:rPr>
          <w:rFonts w:ascii="Times New Roman" w:hAnsi="Times New Roman" w:cs="Times New Roman"/>
          <w:sz w:val="26"/>
          <w:szCs w:val="26"/>
        </w:rPr>
        <w:t>(s</w:t>
      </w:r>
      <w:proofErr w:type="gramEnd"/>
      <w:r w:rsidR="00E1677B">
        <w:rPr>
          <w:rFonts w:ascii="Times New Roman" w:hAnsi="Times New Roman" w:cs="Times New Roman"/>
          <w:sz w:val="26"/>
          <w:szCs w:val="26"/>
        </w:rPr>
        <w:t>)</w:t>
      </w:r>
      <w:r w:rsidR="00063B6D" w:rsidRPr="0026361F">
        <w:rPr>
          <w:rFonts w:ascii="Times New Roman" w:hAnsi="Times New Roman" w:cs="Times New Roman"/>
          <w:sz w:val="26"/>
          <w:szCs w:val="26"/>
        </w:rPr>
        <w:t xml:space="preserve"> executado</w:t>
      </w:r>
      <w:r w:rsidR="00E1677B">
        <w:rPr>
          <w:rFonts w:ascii="Times New Roman" w:hAnsi="Times New Roman" w:cs="Times New Roman"/>
          <w:sz w:val="26"/>
          <w:szCs w:val="26"/>
        </w:rPr>
        <w:t>(a)</w:t>
      </w:r>
      <w:r w:rsidR="00400EC8" w:rsidRPr="0026361F">
        <w:rPr>
          <w:rFonts w:ascii="Times New Roman" w:hAnsi="Times New Roman" w:cs="Times New Roman"/>
          <w:sz w:val="26"/>
          <w:szCs w:val="26"/>
        </w:rPr>
        <w:t>(s)</w:t>
      </w:r>
      <w:r w:rsidR="00063B6D" w:rsidRPr="0026361F">
        <w:rPr>
          <w:rFonts w:ascii="Times New Roman" w:hAnsi="Times New Roman" w:cs="Times New Roman"/>
          <w:sz w:val="26"/>
          <w:szCs w:val="26"/>
        </w:rPr>
        <w:t xml:space="preserve"> e proceder de imediato à penhora eletrónica de depósitos bancários, cuja penhora não viola lei imperativa nem ofende o princípio da proporcionalidade, tal como previsto nos n.ºs 1 e 2 do art.º 751.º do CPC. </w:t>
      </w:r>
    </w:p>
    <w:p w:rsidR="006454FC" w:rsidRDefault="006454FC" w:rsidP="00F674D4">
      <w:pPr>
        <w:spacing w:after="0"/>
        <w:ind w:right="566"/>
        <w:jc w:val="both"/>
        <w:rPr>
          <w:rFonts w:ascii="Times New Roman" w:hAnsi="Times New Roman" w:cs="Times New Roman"/>
          <w:sz w:val="26"/>
          <w:szCs w:val="26"/>
        </w:rPr>
      </w:pPr>
    </w:p>
    <w:p w:rsidR="006454FC" w:rsidRDefault="006454FC" w:rsidP="006454FC">
      <w:pPr>
        <w:spacing w:after="0"/>
        <w:ind w:right="566"/>
        <w:jc w:val="both"/>
        <w:rPr>
          <w:rFonts w:ascii="Times New Roman" w:hAnsi="Times New Roman" w:cs="Times New Roman"/>
          <w:sz w:val="26"/>
          <w:szCs w:val="26"/>
        </w:rPr>
      </w:pPr>
      <w:r w:rsidRPr="00B8170C">
        <w:rPr>
          <w:rFonts w:ascii="Times New Roman" w:hAnsi="Times New Roman" w:cs="Times New Roman"/>
          <w:sz w:val="26"/>
          <w:szCs w:val="26"/>
          <w:highlight w:val="yellow"/>
        </w:rPr>
        <w:t>OU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8170C">
        <w:rPr>
          <w:rFonts w:ascii="Times New Roman" w:hAnsi="Times New Roman" w:cs="Times New Roman"/>
          <w:sz w:val="26"/>
          <w:szCs w:val="26"/>
          <w:highlight w:val="cyan"/>
        </w:rPr>
        <w:t>(Grande Litigante):</w:t>
      </w:r>
      <w:r>
        <w:rPr>
          <w:rFonts w:ascii="Times New Roman" w:hAnsi="Times New Roman" w:cs="Times New Roman"/>
          <w:sz w:val="26"/>
          <w:szCs w:val="26"/>
        </w:rPr>
        <w:t xml:space="preserve"> Assente o indeferimento da nomeação de bens à penhora, em sua substituição, nos termos do n.º 3 do art.º 855.º do CPC, decide-se iniciar as consultas e diligências prévias à penhora, antes da citação </w:t>
      </w:r>
      <w:proofErr w:type="gramStart"/>
      <w:r>
        <w:rPr>
          <w:rFonts w:ascii="Times New Roman" w:hAnsi="Times New Roman" w:cs="Times New Roman"/>
          <w:sz w:val="26"/>
          <w:szCs w:val="26"/>
        </w:rPr>
        <w:t>do(a)(s</w:t>
      </w:r>
      <w:proofErr w:type="gramEnd"/>
      <w:r>
        <w:rPr>
          <w:rFonts w:ascii="Times New Roman" w:hAnsi="Times New Roman" w:cs="Times New Roman"/>
          <w:sz w:val="26"/>
          <w:szCs w:val="26"/>
        </w:rPr>
        <w:t>) executado(a)(s), e colher a informação junto do Banco de Portugal da sede das contas bancárias do(a)(s) executado(a)(s).</w:t>
      </w:r>
    </w:p>
    <w:p w:rsidR="006454FC" w:rsidRDefault="006454FC" w:rsidP="006454FC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063B6D" w:rsidRPr="0026361F" w:rsidRDefault="00063B6D" w:rsidP="00F674D4">
      <w:pPr>
        <w:spacing w:after="0"/>
        <w:ind w:right="566"/>
        <w:jc w:val="both"/>
        <w:rPr>
          <w:rFonts w:ascii="Times New Roman" w:hAnsi="Times New Roman" w:cs="Times New Roman"/>
          <w:sz w:val="26"/>
          <w:szCs w:val="26"/>
        </w:rPr>
      </w:pPr>
      <w:r w:rsidRPr="0026361F">
        <w:rPr>
          <w:rFonts w:ascii="Times New Roman" w:hAnsi="Times New Roman" w:cs="Times New Roman"/>
          <w:sz w:val="26"/>
          <w:szCs w:val="26"/>
        </w:rPr>
        <w:t>O processo, sempre que não exista norma própria estabelecida no Capítulo “Do processo sumário”, seguirá as normas estabelecidas no Capítulo “Do processo ordinário”, por força do n.º 3 do art.º 551.º do CPC.</w:t>
      </w:r>
    </w:p>
    <w:p w:rsidR="004D106E" w:rsidRDefault="004D106E" w:rsidP="00F674D4">
      <w:pPr>
        <w:spacing w:after="0"/>
        <w:ind w:right="566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529286819"/>
    </w:p>
    <w:p w:rsidR="004D106E" w:rsidRDefault="00BD58A7" w:rsidP="00F674D4">
      <w:pPr>
        <w:spacing w:after="0"/>
        <w:ind w:right="56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Desta decisão será notificado(a) o(a) exequente que, nos termos da alínea c) do n.º 1 do art.º 723.º do CPC, pode, querendo, no prazo de dez dias, impugná-la junto do Juiz, que julgará sem direito a recurso. Pode, também, reduzir os bens nomeados ou nomear outros bens à penhora.</w:t>
      </w:r>
      <w:r w:rsidR="004D106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D106E" w:rsidRDefault="004D106E" w:rsidP="00F674D4">
      <w:pPr>
        <w:spacing w:after="0"/>
        <w:ind w:right="566"/>
        <w:jc w:val="both"/>
        <w:rPr>
          <w:rFonts w:ascii="Times New Roman" w:hAnsi="Times New Roman" w:cs="Times New Roman"/>
          <w:sz w:val="26"/>
          <w:szCs w:val="26"/>
        </w:rPr>
      </w:pPr>
    </w:p>
    <w:p w:rsidR="004D106E" w:rsidRDefault="004D106E" w:rsidP="00F674D4">
      <w:pPr>
        <w:spacing w:after="0"/>
        <w:ind w:right="56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Não impugnadas as decisões dos agentes de execução, nas palavras do referido Acórdão de 27-06-2017, Proc.º n.º 522/05.7TBAGN.C1 do Tribunal da Relação de Coimbra, </w:t>
      </w:r>
      <w:r>
        <w:rPr>
          <w:rFonts w:ascii="Times New Roman" w:hAnsi="Times New Roman" w:cs="Times New Roman"/>
          <w:sz w:val="26"/>
          <w:szCs w:val="26"/>
        </w:rPr>
        <w:t xml:space="preserve">disponível em: </w:t>
      </w:r>
      <w:hyperlink r:id="rId10" w:history="1">
        <w:r>
          <w:rPr>
            <w:rStyle w:val="Hiperligao"/>
            <w:rFonts w:ascii="Times New Roman" w:hAnsi="Times New Roman" w:cs="Times New Roman"/>
            <w:sz w:val="26"/>
            <w:szCs w:val="26"/>
          </w:rPr>
          <w:t>http://www.dgsi.pt/jtrc .nsf/8fe0e606d8f56b22802576c0005637dc/cffba524caccc02a80258152003</w:t>
        </w:r>
        <w:r>
          <w:rPr>
            <w:rStyle w:val="Hiperligao"/>
            <w:rFonts w:ascii="Times New Roman" w:hAnsi="Times New Roman" w:cs="Times New Roman"/>
            <w:sz w:val="26"/>
            <w:szCs w:val="26"/>
          </w:rPr>
          <w:lastRenderedPageBreak/>
          <w:t>dafc2?OpenDocument</w:t>
        </w:r>
      </w:hyperlink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“</w:t>
      </w:r>
      <w:r>
        <w:rPr>
          <w:rStyle w:val="Hiperligao"/>
          <w:rFonts w:ascii="Times New Roman" w:hAnsi="Times New Roman" w:cs="Times New Roman"/>
          <w:i/>
          <w:iCs/>
          <w:color w:val="auto"/>
          <w:sz w:val="26"/>
          <w:szCs w:val="26"/>
          <w:u w:val="none"/>
        </w:rPr>
        <w:t xml:space="preserve">(…) </w:t>
      </w:r>
      <w:r>
        <w:rPr>
          <w:rFonts w:ascii="Times New Roman" w:hAnsi="Times New Roman" w:cs="Times New Roman"/>
          <w:i/>
          <w:iCs/>
          <w:sz w:val="26"/>
          <w:szCs w:val="26"/>
        </w:rPr>
        <w:t>estabilizam</w:t>
      </w: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-se/consolidam-se definitivamente (como efeito vinculativo semelhante ao trânsito em julgado de uma decisão judicial).", </w:t>
      </w:r>
      <w:r>
        <w:rPr>
          <w:rFonts w:ascii="Times New Roman" w:hAnsi="Times New Roman" w:cs="Times New Roman"/>
          <w:color w:val="000000"/>
          <w:sz w:val="26"/>
          <w:szCs w:val="26"/>
        </w:rPr>
        <w:t>ou seja, as decisões dos agentes de execução exigem, para se estabilizarem, consolidarem, a aceitação, expressa ou tácita, de exequente, executado e credor reclamante, pelo que, devidamente notificados para impugnar a decisão, se nada disserem, o silêncio tem um valor declarativo positivo: aceitam tacitamente a decisão.</w:t>
      </w:r>
    </w:p>
    <w:p w:rsidR="00C038F9" w:rsidRDefault="00C038F9" w:rsidP="00F674D4">
      <w:pPr>
        <w:pBdr>
          <w:bottom w:val="single" w:sz="12" w:space="1" w:color="auto"/>
        </w:pBdr>
        <w:spacing w:after="0"/>
        <w:ind w:right="566"/>
        <w:jc w:val="both"/>
        <w:rPr>
          <w:rFonts w:ascii="Times New Roman" w:hAnsi="Times New Roman" w:cs="Times New Roman"/>
          <w:sz w:val="26"/>
          <w:szCs w:val="26"/>
        </w:rPr>
      </w:pPr>
    </w:p>
    <w:p w:rsidR="004D106E" w:rsidRDefault="004D106E" w:rsidP="00F674D4">
      <w:pPr>
        <w:pBdr>
          <w:bottom w:val="single" w:sz="12" w:space="1" w:color="auto"/>
        </w:pBdr>
        <w:spacing w:after="0"/>
        <w:ind w:right="566"/>
        <w:jc w:val="both"/>
        <w:rPr>
          <w:rFonts w:ascii="Times New Roman" w:hAnsi="Times New Roman" w:cs="Times New Roman"/>
          <w:sz w:val="26"/>
          <w:szCs w:val="26"/>
        </w:rPr>
      </w:pPr>
    </w:p>
    <w:p w:rsidR="004D106E" w:rsidRDefault="004D106E" w:rsidP="00F674D4">
      <w:pPr>
        <w:pBdr>
          <w:bottom w:val="single" w:sz="12" w:space="1" w:color="auto"/>
        </w:pBdr>
        <w:spacing w:after="0"/>
        <w:ind w:right="566"/>
        <w:jc w:val="both"/>
        <w:rPr>
          <w:rFonts w:ascii="Times New Roman" w:hAnsi="Times New Roman" w:cs="Times New Roman"/>
          <w:sz w:val="26"/>
          <w:szCs w:val="26"/>
        </w:rPr>
      </w:pPr>
    </w:p>
    <w:p w:rsidR="004D106E" w:rsidRDefault="004D106E" w:rsidP="00F674D4">
      <w:pPr>
        <w:pBdr>
          <w:bottom w:val="single" w:sz="12" w:space="1" w:color="auto"/>
        </w:pBdr>
        <w:spacing w:after="0"/>
        <w:ind w:right="566"/>
        <w:jc w:val="both"/>
        <w:rPr>
          <w:rFonts w:ascii="Times New Roman" w:hAnsi="Times New Roman" w:cs="Times New Roman"/>
          <w:sz w:val="26"/>
          <w:szCs w:val="26"/>
        </w:rPr>
      </w:pPr>
    </w:p>
    <w:p w:rsidR="004D106E" w:rsidRDefault="004D106E" w:rsidP="00F674D4">
      <w:pPr>
        <w:pBdr>
          <w:bottom w:val="single" w:sz="12" w:space="1" w:color="auto"/>
        </w:pBdr>
        <w:spacing w:after="0"/>
        <w:ind w:right="566"/>
        <w:jc w:val="both"/>
        <w:rPr>
          <w:sz w:val="26"/>
          <w:szCs w:val="26"/>
        </w:rPr>
      </w:pPr>
    </w:p>
    <w:p w:rsidR="003E56BD" w:rsidRDefault="0074357B" w:rsidP="00F674D4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  <w:t>ATOS CONEXOS:</w:t>
      </w:r>
    </w:p>
    <w:p w:rsidR="00AD2157" w:rsidRDefault="00AD2157" w:rsidP="00F674D4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</w:p>
    <w:p w:rsidR="0074357B" w:rsidRDefault="0074357B" w:rsidP="00F674D4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1 - Notificação ao exequente: </w:t>
      </w:r>
    </w:p>
    <w:p w:rsidR="005C35F8" w:rsidRPr="003E56BD" w:rsidRDefault="005C35F8" w:rsidP="00F674D4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707505" w:rsidTr="00707505">
        <w:tc>
          <w:tcPr>
            <w:tcW w:w="8644" w:type="dxa"/>
          </w:tcPr>
          <w:bookmarkEnd w:id="0"/>
          <w:p w:rsidR="00707505" w:rsidRPr="00707505" w:rsidRDefault="00707505" w:rsidP="00F674D4">
            <w:pPr>
              <w:pStyle w:val="NormalWeb"/>
              <w:spacing w:before="0" w:beforeAutospacing="0" w:after="0" w:afterAutospacing="0"/>
              <w:jc w:val="both"/>
              <w:rPr>
                <w:rStyle w:val="nfase"/>
                <w:sz w:val="26"/>
                <w:szCs w:val="26"/>
                <w:lang w:eastAsia="en-US"/>
              </w:rPr>
            </w:pPr>
            <w:r w:rsidRPr="00707505">
              <w:rPr>
                <w:color w:val="000000"/>
                <w:sz w:val="26"/>
                <w:szCs w:val="26"/>
                <w:lang w:eastAsia="en-US"/>
              </w:rPr>
              <w:t>Fica V.Exa. notificado(a) da decisão do agente de execução, que junta, a qual aceita o requerimento executivo e rejeita a(s) penhora(s) do(s) bem(</w:t>
            </w:r>
            <w:proofErr w:type="spellStart"/>
            <w:r w:rsidRPr="00707505">
              <w:rPr>
                <w:color w:val="000000"/>
                <w:sz w:val="26"/>
                <w:szCs w:val="26"/>
                <w:lang w:eastAsia="en-US"/>
              </w:rPr>
              <w:t>ns</w:t>
            </w:r>
            <w:proofErr w:type="spellEnd"/>
            <w:r w:rsidRPr="00707505">
              <w:rPr>
                <w:color w:val="000000"/>
                <w:sz w:val="26"/>
                <w:szCs w:val="26"/>
                <w:lang w:eastAsia="en-US"/>
              </w:rPr>
              <w:t xml:space="preserve">) ali nomeado(s), com a cominação de, </w:t>
            </w:r>
            <w:r w:rsidRPr="00707505">
              <w:rPr>
                <w:sz w:val="26"/>
                <w:szCs w:val="26"/>
                <w:lang w:eastAsia="en-US"/>
              </w:rPr>
              <w:t>não impugnadas as decisões de agente de execução, nas palavras do Acórdão de 27-06-2017, Proc.º n.º 522/05.7TBAGN.C1, do Tribunal da Relação de Coimbra: </w:t>
            </w:r>
            <w:r w:rsidRPr="00707505">
              <w:rPr>
                <w:rStyle w:val="nfase"/>
                <w:sz w:val="26"/>
                <w:szCs w:val="26"/>
                <w:lang w:eastAsia="en-US"/>
              </w:rPr>
              <w:t>"(…) estabilizam-se/consolidam-se definitivamente (como efeito vinculativo semelhante ao trânsito em julgado de uma decisão judicial).”.</w:t>
            </w:r>
          </w:p>
          <w:p w:rsidR="00707505" w:rsidRPr="00707505" w:rsidRDefault="00707505" w:rsidP="00F674D4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  <w:p w:rsidR="00707505" w:rsidRDefault="00707505" w:rsidP="00F674D4">
            <w:pPr>
              <w:tabs>
                <w:tab w:val="left" w:pos="4820"/>
                <w:tab w:val="left" w:pos="5103"/>
                <w:tab w:val="left" w:pos="5670"/>
              </w:tabs>
              <w:autoSpaceDE w:val="0"/>
              <w:autoSpaceDN w:val="0"/>
              <w:adjustRightInd w:val="0"/>
              <w:spacing w:after="0"/>
              <w:ind w:right="56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07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Com os melhores cumprimentos</w:t>
            </w:r>
          </w:p>
        </w:tc>
      </w:tr>
    </w:tbl>
    <w:p w:rsidR="0074357B" w:rsidRDefault="0074357B" w:rsidP="00F674D4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AD2157" w:rsidRDefault="00AD2157" w:rsidP="00F674D4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62BED" w:rsidRDefault="00162BED" w:rsidP="00F674D4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62BED" w:rsidRDefault="00162BED" w:rsidP="00F674D4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62BED" w:rsidRDefault="00162BED" w:rsidP="00F674D4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947C2" w:rsidRDefault="003E56BD" w:rsidP="00F674D4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 </w:t>
      </w:r>
      <w:r w:rsidR="00E947C2">
        <w:rPr>
          <w:rFonts w:ascii="Times New Roman" w:hAnsi="Times New Roman" w:cs="Times New Roman"/>
          <w:color w:val="000000"/>
          <w:sz w:val="28"/>
          <w:szCs w:val="28"/>
        </w:rPr>
        <w:t>- Penhora bancária:</w:t>
      </w:r>
    </w:p>
    <w:p w:rsidR="00E947C2" w:rsidRDefault="00E947C2" w:rsidP="00F674D4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- SISAAE/GPESE &gt; Penhoras bancárias BP &gt; Bancos</w:t>
      </w:r>
    </w:p>
    <w:p w:rsidR="00E947C2" w:rsidRDefault="00E947C2" w:rsidP="00F674D4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162BED" w:rsidRDefault="00162BED" w:rsidP="00F674D4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162BED" w:rsidRDefault="00162BED" w:rsidP="00F674D4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E947C2" w:rsidRDefault="003E56BD" w:rsidP="00F674D4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 </w:t>
      </w:r>
      <w:r w:rsidR="00E947C2">
        <w:rPr>
          <w:rFonts w:ascii="Times New Roman" w:hAnsi="Times New Roman" w:cs="Times New Roman"/>
          <w:color w:val="000000"/>
          <w:sz w:val="28"/>
          <w:szCs w:val="28"/>
        </w:rPr>
        <w:t xml:space="preserve">- Pesquisa de bens </w:t>
      </w:r>
    </w:p>
    <w:p w:rsidR="00E947C2" w:rsidRDefault="00E947C2" w:rsidP="00F674D4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- Todas as bases de dados</w:t>
      </w:r>
    </w:p>
    <w:p w:rsidR="002B7C6A" w:rsidRDefault="002B7C6A" w:rsidP="00F674D4">
      <w:pPr>
        <w:pBdr>
          <w:bottom w:val="single" w:sz="12" w:space="1" w:color="auto"/>
        </w:pBd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C038F9" w:rsidRDefault="00C038F9" w:rsidP="00F674D4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softHyphen/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softHyphen/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softHyphen/>
      </w:r>
    </w:p>
    <w:p w:rsidR="006C60CA" w:rsidRDefault="006C60CA" w:rsidP="00F674D4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ESTATÍSTICA (Informação aos autos):</w:t>
      </w:r>
    </w:p>
    <w:p w:rsidR="009E3EA2" w:rsidRDefault="006C60CA" w:rsidP="00F674D4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lastRenderedPageBreak/>
        <w:t xml:space="preserve">Estados do </w:t>
      </w:r>
      <w:proofErr w:type="gramStart"/>
      <w:r>
        <w:rPr>
          <w:rFonts w:ascii="Times New Roman" w:hAnsi="Times New Roman" w:cs="Times New Roman"/>
          <w:i/>
          <w:color w:val="000000"/>
          <w:sz w:val="28"/>
          <w:szCs w:val="28"/>
        </w:rPr>
        <w:t>processo &gt;</w:t>
      </w:r>
      <w:proofErr w:type="gram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Fase I &gt; Pesquisa de bens penhoráveis &gt; criar modelo: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D7F94" w:rsidRDefault="001D7F94" w:rsidP="00F674D4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454FC" w:rsidRDefault="009E3EA2" w:rsidP="006454FC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I</w:t>
      </w:r>
      <w:r w:rsidR="00DD7DB9">
        <w:rPr>
          <w:rFonts w:ascii="Times New Roman" w:hAnsi="Times New Roman" w:cs="Times New Roman"/>
          <w:i/>
          <w:sz w:val="28"/>
          <w:szCs w:val="28"/>
        </w:rPr>
        <w:t xml:space="preserve">NFORMAÇÃO AOS AUTOS </w:t>
      </w:r>
      <w:r w:rsidR="003177C5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="006454FC">
        <w:rPr>
          <w:rFonts w:ascii="Times New Roman" w:hAnsi="Times New Roman" w:cs="Times New Roman"/>
          <w:i/>
          <w:sz w:val="28"/>
          <w:szCs w:val="28"/>
        </w:rPr>
        <w:t>penhora/informação bancária</w:t>
      </w:r>
    </w:p>
    <w:p w:rsidR="006C60CA" w:rsidRDefault="006C60CA" w:rsidP="00F674D4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e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pesquisa de bens – depende do AE</w:t>
      </w:r>
    </w:p>
    <w:p w:rsidR="006C60CA" w:rsidRDefault="006C60CA" w:rsidP="00F674D4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6C60CA" w:rsidTr="006C60CA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0CA" w:rsidRDefault="006C60CA" w:rsidP="00F674D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INFORMAÇÃO AOS AUTOS </w:t>
            </w:r>
          </w:p>
          <w:p w:rsidR="006C60CA" w:rsidRDefault="006C60CA" w:rsidP="00F674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6C60CA" w:rsidRDefault="006C60CA" w:rsidP="00F674D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Depende do AE</w:t>
            </w:r>
          </w:p>
          <w:p w:rsidR="006C60CA" w:rsidRDefault="006C60CA" w:rsidP="00F674D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454FC" w:rsidRDefault="006C60CA" w:rsidP="006454F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Assunto: </w:t>
            </w:r>
            <w:r w:rsidR="006454FC">
              <w:rPr>
                <w:rFonts w:ascii="Times New Roman" w:hAnsi="Times New Roman" w:cs="Times New Roman"/>
                <w:i/>
                <w:sz w:val="28"/>
                <w:szCs w:val="28"/>
              </w:rPr>
              <w:t>penhora/informação bancária</w:t>
            </w:r>
            <w:r w:rsidR="006454F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bookmarkStart w:id="1" w:name="_GoBack"/>
            <w:bookmarkEnd w:id="1"/>
          </w:p>
          <w:p w:rsidR="006C60CA" w:rsidRDefault="006C60CA" w:rsidP="00F674D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e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pesquisa de bens penhoráveis</w:t>
            </w:r>
          </w:p>
          <w:p w:rsidR="006C60CA" w:rsidRDefault="006C60CA" w:rsidP="00F674D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C60CA" w:rsidRDefault="006C60CA" w:rsidP="00F674D4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 art.º 754.º do CPC vem estabelecer o dever de informação do agente de execução. O art.º 42.º da Portaria n.º 282/2013, de 29 de agosto, vem regulamentar tal dever de informação e estabelece que tais informações são prestadas simplesmente por consulta ao processo assegurado pelos sistemas informáticos GPESE/SISAAE e CITIUS.</w:t>
            </w:r>
          </w:p>
          <w:p w:rsidR="006C60CA" w:rsidRDefault="006C60CA" w:rsidP="00F674D4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60CA" w:rsidRDefault="006C60CA" w:rsidP="00F674D4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Interpretando amplamente o seu dever de informação, é entendimento do agente de execução signatário que devem os autos estar devidamente informados para possibilitar tais consultas, à distância de um clique, como garante da transparência na condução de cada processo como é vontade do legislador expressa no preâmbulo daquela Portaria. </w:t>
            </w:r>
          </w:p>
          <w:p w:rsidR="006C60CA" w:rsidRDefault="006C60CA" w:rsidP="00F674D4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60CA" w:rsidRDefault="006C60CA" w:rsidP="006454F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Assim, informa-se que, conforme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documento</w:t>
            </w:r>
            <w:r w:rsidR="003177C5">
              <w:rPr>
                <w:rFonts w:ascii="Times New Roman" w:hAnsi="Times New Roman" w:cs="Times New Roman"/>
                <w:sz w:val="28"/>
                <w:szCs w:val="28"/>
              </w:rPr>
              <w:t>(s</w:t>
            </w:r>
            <w:proofErr w:type="gramEnd"/>
            <w:r w:rsidR="003177C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junto</w:t>
            </w:r>
            <w:r w:rsidR="003177C5">
              <w:rPr>
                <w:rFonts w:ascii="Times New Roman" w:hAnsi="Times New Roman" w:cs="Times New Roman"/>
                <w:sz w:val="28"/>
                <w:szCs w:val="28"/>
              </w:rPr>
              <w:t>(s)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o presente processo encontra-se na fase inicial: </w:t>
            </w:r>
            <w:r w:rsidR="006454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</w:t>
            </w:r>
            <w:r w:rsidR="006454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enhora/informação bancária</w:t>
            </w:r>
            <w:r w:rsidR="006454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e pesquisa de bens penhoráveis.</w:t>
            </w:r>
          </w:p>
        </w:tc>
      </w:tr>
    </w:tbl>
    <w:p w:rsidR="006C60CA" w:rsidRDefault="006C60CA" w:rsidP="00F674D4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sz w:val="28"/>
          <w:szCs w:val="28"/>
        </w:rPr>
      </w:pPr>
    </w:p>
    <w:p w:rsidR="00E65CE4" w:rsidRDefault="00E65CE4" w:rsidP="00F674D4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65CE4" w:rsidRDefault="00E65CE4" w:rsidP="00F674D4">
      <w:pPr>
        <w:spacing w:after="0"/>
        <w:rPr>
          <w:sz w:val="28"/>
          <w:szCs w:val="28"/>
        </w:rPr>
      </w:pPr>
    </w:p>
    <w:p w:rsidR="00E65CE4" w:rsidRDefault="00E65CE4" w:rsidP="00F674D4">
      <w:pPr>
        <w:spacing w:after="0"/>
      </w:pPr>
    </w:p>
    <w:p w:rsidR="00704A4F" w:rsidRPr="00A306C7" w:rsidRDefault="00704A4F" w:rsidP="00F674D4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sz w:val="28"/>
          <w:szCs w:val="28"/>
        </w:rPr>
      </w:pPr>
    </w:p>
    <w:sectPr w:rsidR="00704A4F" w:rsidRPr="00A306C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D11" w:rsidRDefault="00296D11" w:rsidP="00042F17">
      <w:pPr>
        <w:spacing w:after="0" w:line="240" w:lineRule="auto"/>
      </w:pPr>
      <w:r>
        <w:separator/>
      </w:r>
    </w:p>
  </w:endnote>
  <w:endnote w:type="continuationSeparator" w:id="0">
    <w:p w:rsidR="00296D11" w:rsidRDefault="00296D11" w:rsidP="00042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D11" w:rsidRDefault="00296D11" w:rsidP="00042F17">
      <w:pPr>
        <w:spacing w:after="0" w:line="240" w:lineRule="auto"/>
      </w:pPr>
      <w:r>
        <w:separator/>
      </w:r>
    </w:p>
  </w:footnote>
  <w:footnote w:type="continuationSeparator" w:id="0">
    <w:p w:rsidR="00296D11" w:rsidRDefault="00296D11" w:rsidP="00042F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AAC"/>
    <w:rsid w:val="00011371"/>
    <w:rsid w:val="00042F17"/>
    <w:rsid w:val="00063B6D"/>
    <w:rsid w:val="000D3A0E"/>
    <w:rsid w:val="00162BED"/>
    <w:rsid w:val="00172813"/>
    <w:rsid w:val="00182622"/>
    <w:rsid w:val="00191598"/>
    <w:rsid w:val="001C0408"/>
    <w:rsid w:val="001D7F94"/>
    <w:rsid w:val="001F4DD8"/>
    <w:rsid w:val="0026361F"/>
    <w:rsid w:val="00296D11"/>
    <w:rsid w:val="002B11E8"/>
    <w:rsid w:val="002B7C6A"/>
    <w:rsid w:val="002E1BF4"/>
    <w:rsid w:val="003177C5"/>
    <w:rsid w:val="00326792"/>
    <w:rsid w:val="00337D34"/>
    <w:rsid w:val="003E56BD"/>
    <w:rsid w:val="00400EC8"/>
    <w:rsid w:val="00417AAC"/>
    <w:rsid w:val="004D106E"/>
    <w:rsid w:val="00527867"/>
    <w:rsid w:val="00542D76"/>
    <w:rsid w:val="005C35F8"/>
    <w:rsid w:val="00627C3A"/>
    <w:rsid w:val="006454FC"/>
    <w:rsid w:val="00690B41"/>
    <w:rsid w:val="006A526D"/>
    <w:rsid w:val="006A7F72"/>
    <w:rsid w:val="006C60CA"/>
    <w:rsid w:val="006E7986"/>
    <w:rsid w:val="006F71C7"/>
    <w:rsid w:val="00704A4F"/>
    <w:rsid w:val="00707505"/>
    <w:rsid w:val="00715E11"/>
    <w:rsid w:val="0074357B"/>
    <w:rsid w:val="00772CC0"/>
    <w:rsid w:val="00777061"/>
    <w:rsid w:val="00836D8F"/>
    <w:rsid w:val="00890AF1"/>
    <w:rsid w:val="009107A5"/>
    <w:rsid w:val="009E3EA2"/>
    <w:rsid w:val="009E6EC3"/>
    <w:rsid w:val="00A144C7"/>
    <w:rsid w:val="00A306C7"/>
    <w:rsid w:val="00A51FCE"/>
    <w:rsid w:val="00A947FE"/>
    <w:rsid w:val="00AD2157"/>
    <w:rsid w:val="00AD77DF"/>
    <w:rsid w:val="00B76A08"/>
    <w:rsid w:val="00B77D23"/>
    <w:rsid w:val="00BD58A7"/>
    <w:rsid w:val="00C038F9"/>
    <w:rsid w:val="00C16A8B"/>
    <w:rsid w:val="00C40679"/>
    <w:rsid w:val="00C55A28"/>
    <w:rsid w:val="00CD1E9A"/>
    <w:rsid w:val="00D12654"/>
    <w:rsid w:val="00D72759"/>
    <w:rsid w:val="00D86020"/>
    <w:rsid w:val="00D95837"/>
    <w:rsid w:val="00DD7DB9"/>
    <w:rsid w:val="00E1677B"/>
    <w:rsid w:val="00E43DFE"/>
    <w:rsid w:val="00E50A15"/>
    <w:rsid w:val="00E65CE4"/>
    <w:rsid w:val="00E947C2"/>
    <w:rsid w:val="00F34E8B"/>
    <w:rsid w:val="00F42247"/>
    <w:rsid w:val="00F6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B6D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182622"/>
    <w:rPr>
      <w:color w:val="0000FF"/>
      <w:u w:val="single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9E6EC3"/>
    <w:rPr>
      <w:color w:val="954F72" w:themeColor="followedHyperlink"/>
      <w:u w:val="single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9E6EC3"/>
    <w:rPr>
      <w:color w:val="808080"/>
      <w:shd w:val="clear" w:color="auto" w:fill="E6E6E6"/>
    </w:rPr>
  </w:style>
  <w:style w:type="table" w:styleId="Tabelacomgrelha">
    <w:name w:val="Table Grid"/>
    <w:basedOn w:val="Tabelanormal"/>
    <w:uiPriority w:val="39"/>
    <w:rsid w:val="00172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B7C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542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nfase">
    <w:name w:val="Emphasis"/>
    <w:basedOn w:val="Tipodeletrapredefinidodopargrafo"/>
    <w:uiPriority w:val="20"/>
    <w:qFormat/>
    <w:rsid w:val="00542D76"/>
    <w:rPr>
      <w:i/>
      <w:iCs/>
    </w:rPr>
  </w:style>
  <w:style w:type="paragraph" w:styleId="Cabealho">
    <w:name w:val="header"/>
    <w:basedOn w:val="Normal"/>
    <w:link w:val="CabealhoCarcter"/>
    <w:uiPriority w:val="99"/>
    <w:unhideWhenUsed/>
    <w:rsid w:val="00042F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42F17"/>
  </w:style>
  <w:style w:type="paragraph" w:styleId="Rodap">
    <w:name w:val="footer"/>
    <w:basedOn w:val="Normal"/>
    <w:link w:val="RodapCarcter"/>
    <w:uiPriority w:val="99"/>
    <w:unhideWhenUsed/>
    <w:rsid w:val="00042F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42F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B6D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182622"/>
    <w:rPr>
      <w:color w:val="0000FF"/>
      <w:u w:val="single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9E6EC3"/>
    <w:rPr>
      <w:color w:val="954F72" w:themeColor="followedHyperlink"/>
      <w:u w:val="single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9E6EC3"/>
    <w:rPr>
      <w:color w:val="808080"/>
      <w:shd w:val="clear" w:color="auto" w:fill="E6E6E6"/>
    </w:rPr>
  </w:style>
  <w:style w:type="table" w:styleId="Tabelacomgrelha">
    <w:name w:val="Table Grid"/>
    <w:basedOn w:val="Tabelanormal"/>
    <w:uiPriority w:val="39"/>
    <w:rsid w:val="00172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B7C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542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nfase">
    <w:name w:val="Emphasis"/>
    <w:basedOn w:val="Tipodeletrapredefinidodopargrafo"/>
    <w:uiPriority w:val="20"/>
    <w:qFormat/>
    <w:rsid w:val="00542D76"/>
    <w:rPr>
      <w:i/>
      <w:iCs/>
    </w:rPr>
  </w:style>
  <w:style w:type="paragraph" w:styleId="Cabealho">
    <w:name w:val="header"/>
    <w:basedOn w:val="Normal"/>
    <w:link w:val="CabealhoCarcter"/>
    <w:uiPriority w:val="99"/>
    <w:unhideWhenUsed/>
    <w:rsid w:val="00042F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42F17"/>
  </w:style>
  <w:style w:type="paragraph" w:styleId="Rodap">
    <w:name w:val="footer"/>
    <w:basedOn w:val="Normal"/>
    <w:link w:val="RodapCarcter"/>
    <w:uiPriority w:val="99"/>
    <w:unhideWhenUsed/>
    <w:rsid w:val="00042F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42F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0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gsi.pt/jtrc.nsf/-4E18E83BE8004E7280257FDC003842D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gsi.pt/jtrg.nsf/86c25a698e4e7cb7802579%20ec004%20d3832/2550182ffce379c480257cee003bd973?OpenDocument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dgsi.pt/jtrc%20.nsf/8fe0e606d8f56b22802576c0005637dc/cffba524caccc02a80258152003dafc2?OpenDocume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gsi.pt/jtre.%20nsf/134973db04f39bf2802579bf005f080b/1b99997fe9faee88802580fa0058d8b6?OpenDocumen%20%20t~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1517</Words>
  <Characters>8195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Utilizador</cp:lastModifiedBy>
  <cp:revision>2</cp:revision>
  <dcterms:created xsi:type="dcterms:W3CDTF">2019-08-19T09:30:00Z</dcterms:created>
  <dcterms:modified xsi:type="dcterms:W3CDTF">2019-08-19T09:30:00Z</dcterms:modified>
</cp:coreProperties>
</file>