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C6" w:rsidRDefault="001835C6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DECISÃO DO AE &gt; </w:t>
      </w:r>
      <w:r w:rsidR="00A92D18">
        <w:rPr>
          <w:rFonts w:ascii="Times New Roman" w:hAnsi="Times New Roman" w:cs="Times New Roman"/>
          <w:sz w:val="26"/>
          <w:szCs w:val="26"/>
        </w:rPr>
        <w:t xml:space="preserve">Outra </w:t>
      </w:r>
      <w:r>
        <w:rPr>
          <w:rFonts w:ascii="Times New Roman" w:hAnsi="Times New Roman" w:cs="Times New Roman"/>
          <w:sz w:val="26"/>
          <w:szCs w:val="26"/>
        </w:rPr>
        <w:t xml:space="preserve">&gt; criar modelo: </w:t>
      </w:r>
    </w:p>
    <w:p w:rsidR="00A449D3" w:rsidRDefault="00A449D3" w:rsidP="004A72D2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835C6" w:rsidRDefault="001835C6" w:rsidP="004A72D2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decisão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inicial</w:t>
      </w:r>
    </w:p>
    <w:p w:rsidR="002836B0" w:rsidRDefault="002836B0" w:rsidP="004A72D2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836B0" w:rsidRDefault="002836B0" w:rsidP="004A72D2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836B0" w:rsidRDefault="002836B0" w:rsidP="004A72D2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D33578" w:rsidRPr="00D33578" w:rsidRDefault="00D33578" w:rsidP="004A72D2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33578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D33578" w:rsidRDefault="00D33578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D287E" w:rsidRDefault="002D287E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 atual Código do Processo Civil, no</w:t>
      </w:r>
      <w:r w:rsidR="000F5F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n.º 1 do seu art.º 719.º vem estipular que as competências, em processo executivo, encontram-se repartidas entre o juiz, a secretaria e o agente de execução e a este cabe </w:t>
      </w:r>
      <w:r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2D287E" w:rsidRDefault="002D287E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D287E" w:rsidRDefault="002D287E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>
        <w:rPr>
          <w:rFonts w:ascii="Times New Roman" w:hAnsi="Times New Roman" w:cs="Times New Roman"/>
          <w:sz w:val="26"/>
          <w:szCs w:val="26"/>
        </w:rPr>
        <w:t>(sublinhado nosso). Aqui, “em definitivo” o legislador ordena que se cumpra a sua vontade sem discussão.</w:t>
      </w:r>
    </w:p>
    <w:p w:rsidR="002D287E" w:rsidRDefault="002D287E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D287E" w:rsidRDefault="002D287E" w:rsidP="004A72D2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Nesse sentido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Relação de Guimarães, disponível em </w:t>
      </w:r>
      <w:hyperlink r:id="rId6" w:history="1">
        <w:r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>
        <w:rPr>
          <w:rFonts w:ascii="Times New Roman" w:hAnsi="Times New Roman" w:cs="Times New Roman"/>
          <w:i/>
          <w:sz w:val="26"/>
          <w:szCs w:val="26"/>
        </w:rPr>
        <w:t>II.FUNDAMENTAÇÃO Apuradas as situações que determinem a extinção da execução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>
        <w:rPr>
          <w:rFonts w:ascii="Times New Roman" w:hAnsi="Times New Roman" w:cs="Times New Roman"/>
          <w:sz w:val="26"/>
          <w:szCs w:val="26"/>
        </w:rPr>
        <w:t>);</w:t>
      </w:r>
    </w:p>
    <w:p w:rsidR="002D287E" w:rsidRDefault="002D287E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7" w:history="1">
        <w:r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2D287E" w:rsidRDefault="002D287E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8" w:history="1">
        <w:r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>
        <w:rPr>
          <w:rFonts w:ascii="Times New Roman" w:hAnsi="Times New Roman" w:cs="Times New Roman"/>
          <w:sz w:val="26"/>
          <w:szCs w:val="26"/>
        </w:rPr>
        <w:t>: ”</w:t>
      </w:r>
      <w:r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2D287E" w:rsidRDefault="002D287E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D287E" w:rsidRDefault="002D287E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Como não existe uma atribuição própria da secretaria estabelecida nos n.ºs 3 e 4 do mesmo art.º 719.º, nem uma competência genérica definida nas alíneas do n.º 1 do art.º 723.º do CPC ou uma “intervenção” prevista no corpo desse mesmo n.º 1 para decidir a rejeição e o recebimento do requerimento executivo em processo </w:t>
      </w:r>
      <w:r w:rsidR="00D811BD">
        <w:rPr>
          <w:rFonts w:ascii="Times New Roman" w:hAnsi="Times New Roman" w:cs="Times New Roman"/>
          <w:sz w:val="26"/>
          <w:szCs w:val="26"/>
        </w:rPr>
        <w:t>sumário</w:t>
      </w:r>
      <w:r>
        <w:rPr>
          <w:rFonts w:ascii="Times New Roman" w:hAnsi="Times New Roman" w:cs="Times New Roman"/>
          <w:sz w:val="26"/>
          <w:szCs w:val="26"/>
        </w:rPr>
        <w:t>, esta competência, por exclusão de partes e pela aplicação daqueles normativos, é do agente de execução, pelo que, cumprindo a lei e a vontade do legislador e com o suporte da jurisprudência, cumpre ao agente de execução decidir.</w:t>
      </w:r>
    </w:p>
    <w:p w:rsidR="002D287E" w:rsidRDefault="002D287E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8A66B7" w:rsidRDefault="00182622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E345D3">
        <w:rPr>
          <w:rFonts w:ascii="Times New Roman" w:hAnsi="Times New Roman" w:cs="Times New Roman"/>
          <w:sz w:val="26"/>
          <w:szCs w:val="26"/>
        </w:rPr>
        <w:t xml:space="preserve">decisão judicial condenatória </w:t>
      </w:r>
      <w:r>
        <w:rPr>
          <w:rFonts w:ascii="Times New Roman" w:hAnsi="Times New Roman" w:cs="Times New Roman"/>
          <w:sz w:val="26"/>
          <w:szCs w:val="26"/>
        </w:rPr>
        <w:t xml:space="preserve">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CPC. </w:t>
      </w:r>
      <w:r w:rsidR="00934837">
        <w:rPr>
          <w:rFonts w:ascii="Times New Roman" w:hAnsi="Times New Roman" w:cs="Times New Roman"/>
          <w:sz w:val="26"/>
          <w:szCs w:val="26"/>
        </w:rPr>
        <w:t>O processo é</w:t>
      </w:r>
      <w:r>
        <w:rPr>
          <w:rFonts w:ascii="Times New Roman" w:hAnsi="Times New Roman" w:cs="Times New Roman"/>
          <w:sz w:val="26"/>
          <w:szCs w:val="26"/>
        </w:rPr>
        <w:t xml:space="preserve"> de </w:t>
      </w:r>
      <w:r w:rsidRPr="00E345D3">
        <w:rPr>
          <w:rFonts w:ascii="Times New Roman" w:hAnsi="Times New Roman" w:cs="Times New Roman"/>
          <w:sz w:val="26"/>
          <w:szCs w:val="26"/>
        </w:rPr>
        <w:t xml:space="preserve">execução de sentença nos próprios atos, </w:t>
      </w:r>
      <w:r w:rsidR="008A66B7">
        <w:rPr>
          <w:rFonts w:ascii="Times New Roman" w:hAnsi="Times New Roman" w:cs="Times New Roman"/>
          <w:sz w:val="26"/>
          <w:szCs w:val="26"/>
        </w:rPr>
        <w:t xml:space="preserve">pelo que, nos termos do n.º 2 do art.º 626.º do CPC, segue a tramitação prevista para a forma sumária. </w:t>
      </w:r>
    </w:p>
    <w:p w:rsidR="008A66B7" w:rsidRDefault="008A66B7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82622" w:rsidRDefault="00182622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Seguindo a forma sumária, nos termos do n.º 3 do art.º 855.º do CPC, decide-se aceitar o requerimento executivo. </w:t>
      </w:r>
    </w:p>
    <w:p w:rsidR="009A228F" w:rsidRDefault="009A228F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82622" w:rsidRDefault="00182622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O(A</w:t>
      </w:r>
      <w:proofErr w:type="gramEnd"/>
      <w:r>
        <w:rPr>
          <w:rFonts w:ascii="Times New Roman" w:hAnsi="Times New Roman" w:cs="Times New Roman"/>
          <w:sz w:val="26"/>
          <w:szCs w:val="26"/>
        </w:rPr>
        <w:t>) exeque</w:t>
      </w:r>
      <w:r w:rsidR="00020069">
        <w:rPr>
          <w:rFonts w:ascii="Times New Roman" w:hAnsi="Times New Roman" w:cs="Times New Roman"/>
          <w:sz w:val="26"/>
          <w:szCs w:val="26"/>
        </w:rPr>
        <w:t xml:space="preserve">nte veio nomear à penhora… </w:t>
      </w:r>
      <w:r w:rsidRPr="00E345D3">
        <w:rPr>
          <w:rFonts w:ascii="Times New Roman" w:hAnsi="Times New Roman" w:cs="Times New Roman"/>
          <w:sz w:val="26"/>
          <w:szCs w:val="26"/>
        </w:rPr>
        <w:t>cuja penhora não viola lei imperativa nem ofende o princípio da proporcionalidade, tal como previsto nos n</w:t>
      </w:r>
      <w:r>
        <w:rPr>
          <w:rFonts w:ascii="Times New Roman" w:hAnsi="Times New Roman" w:cs="Times New Roman"/>
          <w:sz w:val="26"/>
          <w:szCs w:val="26"/>
        </w:rPr>
        <w:t>.ºs 1 e 2 do art.º 751.º do CPC, pelo que decide-se penhorar tal</w:t>
      </w:r>
      <w:r w:rsidR="002D7D4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2D7D47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="002D7D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bem</w:t>
      </w:r>
      <w:r w:rsidR="002D7D4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2D7D47">
        <w:rPr>
          <w:rFonts w:ascii="Times New Roman" w:hAnsi="Times New Roman" w:cs="Times New Roman"/>
          <w:sz w:val="26"/>
          <w:szCs w:val="26"/>
        </w:rPr>
        <w:t>ns</w:t>
      </w:r>
      <w:proofErr w:type="spellEnd"/>
      <w:r w:rsidR="002D7D4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A228F" w:rsidRDefault="009A228F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82622" w:rsidRDefault="00182622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O processo, sempre que não exista norma própria estabelecida no Capítulo “Do processo sumário”, seguirá as normas estabelecidas no Capítulo “Do processo ordinário”, por força do n.º 3 do art.º 551.º do CPC. </w:t>
      </w:r>
    </w:p>
    <w:p w:rsidR="002836B0" w:rsidRDefault="002836B0" w:rsidP="004A72D2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704A4F" w:rsidRDefault="00704A4F" w:rsidP="004A72D2">
      <w:pPr>
        <w:pBdr>
          <w:bottom w:val="single" w:sz="12" w:space="1" w:color="auto"/>
        </w:pBdr>
        <w:spacing w:after="0"/>
      </w:pPr>
    </w:p>
    <w:p w:rsidR="002836B0" w:rsidRDefault="002836B0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FA196B" w:rsidRDefault="00FA196B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AF104C" w:rsidRDefault="00AF104C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FA196B" w:rsidRDefault="00FA196B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FA196B" w:rsidRDefault="00A449D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A196B">
        <w:rPr>
          <w:rFonts w:ascii="Times New Roman" w:hAnsi="Times New Roman" w:cs="Times New Roman"/>
          <w:color w:val="000000"/>
          <w:sz w:val="28"/>
          <w:szCs w:val="28"/>
        </w:rPr>
        <w:t xml:space="preserve"> - Penhora dos bens nomeados </w:t>
      </w:r>
      <w:r w:rsidR="00FA196B" w:rsidRPr="000D297F">
        <w:rPr>
          <w:rFonts w:ascii="Times New Roman" w:hAnsi="Times New Roman" w:cs="Times New Roman"/>
          <w:i/>
          <w:color w:val="000000"/>
          <w:sz w:val="28"/>
          <w:szCs w:val="28"/>
        </w:rPr>
        <w:t>(depois do pagamento da provisão):</w:t>
      </w:r>
    </w:p>
    <w:p w:rsidR="000D297F" w:rsidRDefault="000D297F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D297F" w:rsidRDefault="000D297F" w:rsidP="004A72D2">
      <w:pPr>
        <w:pStyle w:val="PargrafodaLista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–</w:t>
      </w:r>
      <w:r w:rsidR="00FA196B"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Imóvel:</w:t>
      </w:r>
    </w:p>
    <w:p w:rsidR="00436DD8" w:rsidRPr="00351C93" w:rsidRDefault="000D297F" w:rsidP="004A72D2">
      <w:pPr>
        <w:pStyle w:val="PargrafodaLista"/>
        <w:tabs>
          <w:tab w:val="left" w:pos="0"/>
        </w:tabs>
        <w:autoSpaceDE w:val="0"/>
        <w:autoSpaceDN w:val="0"/>
        <w:adjustRightInd w:val="0"/>
        <w:spacing w:after="0"/>
        <w:ind w:left="1065" w:right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- </w:t>
      </w:r>
      <w:r w:rsidR="00FA196B"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Predial </w:t>
      </w:r>
      <w:proofErr w:type="gramStart"/>
      <w:r w:rsidR="00FA196B" w:rsidRPr="000D297F">
        <w:rPr>
          <w:rFonts w:ascii="Times New Roman" w:hAnsi="Times New Roman" w:cs="Times New Roman"/>
          <w:i/>
          <w:color w:val="000000"/>
          <w:sz w:val="26"/>
          <w:szCs w:val="26"/>
        </w:rPr>
        <w:t>online</w:t>
      </w:r>
      <w:proofErr w:type="gramEnd"/>
      <w:r w:rsidR="00436DD8"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="00436DD8" w:rsidRPr="00351C93">
        <w:rPr>
          <w:rFonts w:ascii="Times New Roman" w:hAnsi="Times New Roman" w:cs="Times New Roman"/>
          <w:i/>
          <w:color w:val="000000"/>
          <w:sz w:val="24"/>
          <w:szCs w:val="24"/>
        </w:rPr>
        <w:t>(declarações co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mplementares em</w:t>
      </w:r>
      <w:r w:rsidR="00351C9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1.1.1.</w:t>
      </w:r>
      <w:r w:rsidR="00B7494D">
        <w:rPr>
          <w:rFonts w:ascii="Times New Roman" w:hAnsi="Times New Roman" w:cs="Times New Roman"/>
          <w:i/>
          <w:color w:val="000000"/>
          <w:sz w:val="24"/>
          <w:szCs w:val="24"/>
        </w:rPr>
        <w:t>2.2.1.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1</w:t>
      </w:r>
      <w:r w:rsidR="00351C93" w:rsidRPr="00351C9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351C93">
        <w:rPr>
          <w:rFonts w:ascii="Times New Roman" w:hAnsi="Times New Roman" w:cs="Times New Roman"/>
          <w:i/>
          <w:color w:val="000000"/>
          <w:sz w:val="24"/>
          <w:szCs w:val="24"/>
        </w:rPr>
        <w:t>1)</w:t>
      </w:r>
      <w:r w:rsidR="00436DD8" w:rsidRPr="00351C9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0D297F" w:rsidRDefault="00436DD8" w:rsidP="004A72D2">
      <w:pPr>
        <w:tabs>
          <w:tab w:val="left" w:pos="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</w:t>
      </w:r>
    </w:p>
    <w:p w:rsidR="000D297F" w:rsidRPr="000D297F" w:rsidRDefault="000D297F" w:rsidP="004A72D2">
      <w:pPr>
        <w:pStyle w:val="PargrafodaLista"/>
        <w:numPr>
          <w:ilvl w:val="0"/>
          <w:numId w:val="1"/>
        </w:num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– Móvel sujeito a registo:</w:t>
      </w:r>
    </w:p>
    <w:p w:rsidR="000D297F" w:rsidRDefault="000D297F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- Automóvel - </w:t>
      </w:r>
      <w:r w:rsidR="002A1421">
        <w:rPr>
          <w:rFonts w:ascii="Times New Roman" w:hAnsi="Times New Roman" w:cs="Times New Roman"/>
          <w:i/>
          <w:color w:val="000000"/>
          <w:sz w:val="26"/>
          <w:szCs w:val="26"/>
        </w:rPr>
        <w:t>GPESE</w:t>
      </w:r>
    </w:p>
    <w:p w:rsidR="00325BF3" w:rsidRPr="00325BF3" w:rsidRDefault="00325BF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325B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- Navio - </w:t>
      </w:r>
      <w:r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Balcão Eletrónico do Mar (</w:t>
      </w:r>
      <w:proofErr w:type="spellStart"/>
      <w:r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BMar</w:t>
      </w:r>
      <w:proofErr w:type="spellEnd"/>
      <w:r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),</w:t>
      </w:r>
      <w:r w:rsidR="000D297F" w:rsidRPr="00325BF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</w:t>
      </w:r>
    </w:p>
    <w:p w:rsidR="000D297F" w:rsidRDefault="00325BF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</w:t>
      </w:r>
      <w:r w:rsidR="000D297F">
        <w:rPr>
          <w:rFonts w:ascii="Times New Roman" w:hAnsi="Times New Roman" w:cs="Times New Roman"/>
          <w:i/>
          <w:color w:val="000000"/>
          <w:sz w:val="26"/>
          <w:szCs w:val="26"/>
        </w:rPr>
        <w:t>- Aeronave:</w:t>
      </w:r>
    </w:p>
    <w:p w:rsidR="000D297F" w:rsidRDefault="000D297F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       - Conservatória do Registo Comercial </w:t>
      </w:r>
    </w:p>
    <w:p w:rsidR="000D297F" w:rsidRDefault="000D297F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       - </w:t>
      </w:r>
      <w:r>
        <w:rPr>
          <w:rFonts w:ascii="Times New Roman" w:hAnsi="Times New Roman" w:cs="Times New Roman"/>
          <w:i/>
          <w:sz w:val="26"/>
          <w:szCs w:val="26"/>
        </w:rPr>
        <w:t>Registo Aeronáutico Nacional</w:t>
      </w:r>
    </w:p>
    <w:p w:rsidR="000D297F" w:rsidRDefault="000D297F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D297F" w:rsidRDefault="000D297F" w:rsidP="004A72D2">
      <w:pPr>
        <w:pStyle w:val="PargrafodaLista"/>
        <w:numPr>
          <w:ilvl w:val="0"/>
          <w:numId w:val="1"/>
        </w:num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– Salários/pensões/créditos/outras:</w:t>
      </w:r>
    </w:p>
    <w:p w:rsidR="000D297F" w:rsidRDefault="000D297F" w:rsidP="004A72D2">
      <w:pPr>
        <w:pStyle w:val="PargrafodaLista"/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left="1065"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D297F" w:rsidRDefault="000D297F" w:rsidP="004A72D2">
      <w:pPr>
        <w:pStyle w:val="PargrafodaLista"/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left="1065"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- GPESE</w:t>
      </w:r>
    </w:p>
    <w:p w:rsidR="002836B0" w:rsidRDefault="002836B0" w:rsidP="004A72D2">
      <w:pPr>
        <w:pStyle w:val="PargrafodaLista"/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left="1065" w:right="567"/>
        <w:jc w:val="both"/>
      </w:pPr>
    </w:p>
    <w:p w:rsidR="00AF104C" w:rsidRDefault="00AF104C" w:rsidP="004A72D2">
      <w:pPr>
        <w:pStyle w:val="PargrafodaLista"/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left="1065" w:right="567"/>
        <w:jc w:val="both"/>
      </w:pPr>
    </w:p>
    <w:p w:rsidR="00FA196B" w:rsidRDefault="00FA196B" w:rsidP="004A72D2">
      <w:pPr>
        <w:pBdr>
          <w:bottom w:val="single" w:sz="12" w:space="1" w:color="auto"/>
        </w:pBdr>
        <w:spacing w:after="0"/>
      </w:pPr>
    </w:p>
    <w:p w:rsidR="002836B0" w:rsidRDefault="002836B0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9359E" w:rsidRDefault="0069359E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A449D3" w:rsidRDefault="00A449D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449D3" w:rsidRPr="00A449D3" w:rsidRDefault="00FE7F97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A do Impulso Processual (2.3.1.2.1) do pedido de provisão</w:t>
      </w:r>
    </w:p>
    <w:p w:rsidR="0069359E" w:rsidRDefault="0069359E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FE7F97" w:rsidRDefault="00A449D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449D3"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</w:rPr>
        <w:t>OU</w:t>
      </w:r>
      <w:r w:rsidR="00FE7F97"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FE7F97" w:rsidRDefault="00FE7F97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449D3" w:rsidRPr="00FE7F97" w:rsidRDefault="00FE7F97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E7F97">
        <w:rPr>
          <w:rFonts w:ascii="Times New Roman" w:hAnsi="Times New Roman" w:cs="Times New Roman"/>
          <w:i/>
          <w:color w:val="000000"/>
          <w:sz w:val="28"/>
          <w:szCs w:val="28"/>
          <w:highlight w:val="cyan"/>
        </w:rPr>
        <w:t>- Se não for pedida provisão ou depois dela paga</w:t>
      </w:r>
      <w:r w:rsidRPr="00FE7F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A449D3" w:rsidRPr="00FE7F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A449D3" w:rsidRPr="00A449D3" w:rsidRDefault="00A449D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1E7E3D" w:rsidRDefault="0069359E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Estados do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1E7E3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Fase II – Penhora &gt;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Diligências </w:t>
      </w:r>
      <w:r w:rsidR="001E7E3D">
        <w:rPr>
          <w:rFonts w:ascii="Times New Roman" w:hAnsi="Times New Roman" w:cs="Times New Roman"/>
          <w:i/>
          <w:color w:val="000000"/>
          <w:sz w:val="28"/>
          <w:szCs w:val="28"/>
        </w:rPr>
        <w:t>em C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urso &gt; criar modelo: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49D3" w:rsidRDefault="00A449D3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9359E" w:rsidRDefault="0069359E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</w:t>
      </w:r>
      <w:r w:rsidR="00A449D3">
        <w:rPr>
          <w:rFonts w:ascii="Times New Roman" w:hAnsi="Times New Roman" w:cs="Times New Roman"/>
          <w:i/>
          <w:sz w:val="28"/>
          <w:szCs w:val="28"/>
        </w:rPr>
        <w:t>NFORMAÇÃO AOS AUTOS – penhora de…</w:t>
      </w:r>
      <w:r>
        <w:rPr>
          <w:rFonts w:ascii="Times New Roman" w:hAnsi="Times New Roman" w:cs="Times New Roman"/>
          <w:i/>
          <w:sz w:val="28"/>
          <w:szCs w:val="28"/>
        </w:rPr>
        <w:t xml:space="preserve"> – depende </w:t>
      </w:r>
      <w:r w:rsidR="00BC546A">
        <w:rPr>
          <w:rFonts w:ascii="Times New Roman" w:hAnsi="Times New Roman" w:cs="Times New Roman"/>
          <w:i/>
          <w:sz w:val="28"/>
          <w:szCs w:val="28"/>
        </w:rPr>
        <w:t xml:space="preserve">do </w:t>
      </w:r>
      <w:r w:rsidR="00A449D3">
        <w:rPr>
          <w:rFonts w:ascii="Times New Roman" w:hAnsi="Times New Roman" w:cs="Times New Roman"/>
          <w:i/>
          <w:sz w:val="28"/>
          <w:szCs w:val="28"/>
        </w:rPr>
        <w:t>AE</w:t>
      </w:r>
    </w:p>
    <w:p w:rsidR="00D4116D" w:rsidRDefault="00D4116D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69359E" w:rsidTr="0069359E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INFORMAÇÃO AOS AUTOS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Depende </w:t>
            </w:r>
            <w:r w:rsidR="00BC54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do </w:t>
            </w:r>
            <w:r w:rsidR="00A449D3">
              <w:rPr>
                <w:rFonts w:ascii="Times New Roman" w:hAnsi="Times New Roman" w:cs="Times New Roman"/>
                <w:i/>
                <w:sz w:val="28"/>
                <w:szCs w:val="28"/>
              </w:rPr>
              <w:t>AE</w:t>
            </w: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Assunto: penhora de…</w:t>
            </w: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9359E" w:rsidRDefault="0069359E" w:rsidP="004A72D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 </w:t>
            </w:r>
          </w:p>
          <w:p w:rsidR="0069359E" w:rsidRDefault="0069359E" w:rsidP="004A72D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59E" w:rsidRDefault="0069359E" w:rsidP="004A72D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69359E" w:rsidRDefault="0069359E" w:rsidP="004A72D2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59E" w:rsidRDefault="0069359E" w:rsidP="004A72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documento</w:t>
            </w:r>
            <w:r w:rsidR="00325BF3">
              <w:rPr>
                <w:rFonts w:ascii="Times New Roman" w:hAnsi="Times New Roman" w:cs="Times New Roman"/>
                <w:sz w:val="28"/>
                <w:szCs w:val="28"/>
              </w:rPr>
              <w:t>(s</w:t>
            </w:r>
            <w:proofErr w:type="gramEnd"/>
            <w:r w:rsidR="00325B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junto</w:t>
            </w:r>
            <w:r w:rsidR="00325BF3">
              <w:rPr>
                <w:rFonts w:ascii="Times New Roman" w:hAnsi="Times New Roman" w:cs="Times New Roman"/>
                <w:sz w:val="28"/>
                <w:szCs w:val="28"/>
              </w:rPr>
              <w:t>(s)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o presente processo encontra-se em diligências de penhora de…</w:t>
            </w:r>
          </w:p>
        </w:tc>
      </w:tr>
    </w:tbl>
    <w:p w:rsidR="0069359E" w:rsidRDefault="0069359E" w:rsidP="004A72D2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6935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257A3"/>
    <w:multiLevelType w:val="hybridMultilevel"/>
    <w:tmpl w:val="E1D4268E"/>
    <w:lvl w:ilvl="0" w:tplc="993E64C8">
      <w:start w:val="1"/>
      <w:numFmt w:val="upperLetter"/>
      <w:lvlText w:val="%1)"/>
      <w:lvlJc w:val="left"/>
      <w:pPr>
        <w:ind w:left="1065" w:hanging="360"/>
      </w:pPr>
      <w:rPr>
        <w:rFonts w:hint="default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AC"/>
    <w:rsid w:val="00020069"/>
    <w:rsid w:val="000D297F"/>
    <w:rsid w:val="000F5F85"/>
    <w:rsid w:val="0015618F"/>
    <w:rsid w:val="00182622"/>
    <w:rsid w:val="001835C6"/>
    <w:rsid w:val="00197C8E"/>
    <w:rsid w:val="001E7E3D"/>
    <w:rsid w:val="00281A95"/>
    <w:rsid w:val="002836B0"/>
    <w:rsid w:val="002A1421"/>
    <w:rsid w:val="002D287E"/>
    <w:rsid w:val="002D7279"/>
    <w:rsid w:val="002D7D47"/>
    <w:rsid w:val="00325BF3"/>
    <w:rsid w:val="00351C93"/>
    <w:rsid w:val="003F650F"/>
    <w:rsid w:val="00417AAC"/>
    <w:rsid w:val="00436DD8"/>
    <w:rsid w:val="004A72D2"/>
    <w:rsid w:val="005B73A9"/>
    <w:rsid w:val="00651C18"/>
    <w:rsid w:val="0069359E"/>
    <w:rsid w:val="00704A4F"/>
    <w:rsid w:val="00794E95"/>
    <w:rsid w:val="007E619E"/>
    <w:rsid w:val="00844196"/>
    <w:rsid w:val="008A66B7"/>
    <w:rsid w:val="008B1236"/>
    <w:rsid w:val="00934837"/>
    <w:rsid w:val="009A228F"/>
    <w:rsid w:val="00A449D3"/>
    <w:rsid w:val="00A92D18"/>
    <w:rsid w:val="00AF104C"/>
    <w:rsid w:val="00B230E7"/>
    <w:rsid w:val="00B7494D"/>
    <w:rsid w:val="00BB1AEA"/>
    <w:rsid w:val="00BC546A"/>
    <w:rsid w:val="00C10396"/>
    <w:rsid w:val="00C20227"/>
    <w:rsid w:val="00CC03CF"/>
    <w:rsid w:val="00D33578"/>
    <w:rsid w:val="00D4116D"/>
    <w:rsid w:val="00D811BD"/>
    <w:rsid w:val="00DE3299"/>
    <w:rsid w:val="00DF3619"/>
    <w:rsid w:val="00E21365"/>
    <w:rsid w:val="00E9543A"/>
    <w:rsid w:val="00F060AE"/>
    <w:rsid w:val="00FA196B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AC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paragraph" w:customStyle="1" w:styleId="Default">
    <w:name w:val="Default"/>
    <w:rsid w:val="00E213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E2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2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AC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paragraph" w:customStyle="1" w:styleId="Default">
    <w:name w:val="Default"/>
    <w:rsid w:val="00E213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E2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i.pt/jtre.%20nsf/134973db04f39bf2802579bf005f080b/1b99997fe9faee88802580fa0058d8b6?OpenDocumen%20%20t~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gsi.pt/jtrc.nsf/-4E18E83BE8004E7280257FDC003842D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i.pt/jtrg.nsf/86c25a698e4e7cb7802579%20ec004%20d3832/2550182ffce379c480257cee003bd973?OpenDocumen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2019-08-19T08:05:00Z</dcterms:created>
  <dcterms:modified xsi:type="dcterms:W3CDTF">2019-08-19T08:05:00Z</dcterms:modified>
</cp:coreProperties>
</file>